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60" w:firstLineChars="50"/>
        <w:jc w:val="center"/>
        <w:rPr>
          <w:rFonts w:hint="eastAsia" w:ascii="仿宋_GB2312" w:hAnsi="仿宋_GB2312" w:eastAsia="仿宋_GB2312" w:cs="仿宋_GB2312"/>
          <w:b/>
          <w:color w:val="auto"/>
          <w:sz w:val="52"/>
          <w:szCs w:val="52"/>
          <w:highlight w:val="none"/>
        </w:rPr>
      </w:pPr>
    </w:p>
    <w:p>
      <w:pPr>
        <w:spacing w:line="360" w:lineRule="auto"/>
        <w:ind w:firstLine="260" w:firstLineChars="50"/>
        <w:jc w:val="center"/>
        <w:rPr>
          <w:rFonts w:hint="eastAsia" w:ascii="仿宋_GB2312" w:hAnsi="仿宋_GB2312" w:eastAsia="仿宋_GB2312" w:cs="仿宋_GB2312"/>
          <w:b/>
          <w:color w:val="auto"/>
          <w:sz w:val="52"/>
          <w:szCs w:val="52"/>
          <w:highlight w:val="none"/>
        </w:rPr>
      </w:pPr>
    </w:p>
    <w:p>
      <w:pPr>
        <w:spacing w:line="360" w:lineRule="auto"/>
        <w:ind w:firstLine="260" w:firstLineChars="50"/>
        <w:jc w:val="center"/>
        <w:rPr>
          <w:rFonts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肇庆盈德油站项目</w:t>
      </w:r>
    </w:p>
    <w:p>
      <w:pPr>
        <w:spacing w:line="360" w:lineRule="auto"/>
        <w:ind w:firstLine="260" w:firstLineChars="50"/>
        <w:jc w:val="center"/>
        <w:rPr>
          <w:rFonts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招标代理服务采购项目</w:t>
      </w:r>
    </w:p>
    <w:p>
      <w:pPr>
        <w:spacing w:line="360" w:lineRule="auto"/>
        <w:ind w:firstLine="120" w:firstLineChars="50"/>
        <w:jc w:val="center"/>
        <w:rPr>
          <w:rFonts w:ascii="仿宋_GB2312" w:hAnsi="仿宋_GB2312" w:eastAsia="仿宋_GB2312" w:cs="仿宋_GB2312"/>
          <w:b/>
          <w:color w:val="auto"/>
          <w:sz w:val="24"/>
          <w:highlight w:val="none"/>
        </w:rPr>
      </w:pPr>
    </w:p>
    <w:p>
      <w:pPr>
        <w:spacing w:line="360" w:lineRule="auto"/>
        <w:ind w:firstLine="240" w:firstLineChars="50"/>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lang w:val="en-US" w:eastAsia="zh-CN"/>
        </w:rPr>
        <w:t>自主</w:t>
      </w:r>
      <w:r>
        <w:rPr>
          <w:rFonts w:hint="eastAsia" w:ascii="仿宋_GB2312" w:hAnsi="仿宋_GB2312" w:eastAsia="仿宋_GB2312" w:cs="仿宋_GB2312"/>
          <w:b/>
          <w:color w:val="auto"/>
          <w:sz w:val="48"/>
          <w:szCs w:val="48"/>
          <w:highlight w:val="none"/>
        </w:rPr>
        <w:t>招标文件</w:t>
      </w: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pStyle w:val="23"/>
        <w:rPr>
          <w:color w:val="auto"/>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480" w:lineRule="exact"/>
        <w:jc w:val="center"/>
        <w:rPr>
          <w:rFonts w:ascii="仿宋_GB2312" w:hAnsi="仿宋_GB2312" w:eastAsia="仿宋_GB2312" w:cs="仿宋_GB2312"/>
          <w:b/>
          <w:color w:val="auto"/>
          <w:sz w:val="24"/>
          <w:highlight w:val="none"/>
        </w:rPr>
      </w:pPr>
    </w:p>
    <w:p>
      <w:pPr>
        <w:spacing w:line="360" w:lineRule="auto"/>
        <w:ind w:firstLine="846" w:firstLineChars="235"/>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招标人：肇庆盈德企业管理有限公司</w:t>
      </w:r>
    </w:p>
    <w:p>
      <w:pPr>
        <w:spacing w:line="360" w:lineRule="auto"/>
        <w:ind w:firstLine="846" w:firstLineChars="235"/>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 xml:space="preserve"> </w:t>
      </w:r>
    </w:p>
    <w:p>
      <w:pPr>
        <w:ind w:firstLine="846" w:firstLineChars="235"/>
        <w:jc w:val="center"/>
        <w:rPr>
          <w:rFonts w:ascii="仿宋_GB2312" w:hAnsi="仿宋_GB2312" w:eastAsia="仿宋_GB2312" w:cs="仿宋_GB2312"/>
          <w:b/>
          <w:bCs/>
          <w:color w:val="auto"/>
          <w:sz w:val="36"/>
          <w:szCs w:val="44"/>
          <w:highlight w:val="none"/>
        </w:rPr>
        <w:sectPr>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hAnsi="仿宋_GB2312" w:eastAsia="仿宋_GB2312" w:cs="仿宋_GB2312"/>
          <w:b/>
          <w:bCs/>
          <w:color w:val="auto"/>
          <w:sz w:val="36"/>
          <w:szCs w:val="44"/>
          <w:highlight w:val="none"/>
          <w:lang w:val="en-US" w:eastAsia="zh-CN"/>
        </w:rPr>
        <w:t>2023</w:t>
      </w:r>
      <w:r>
        <w:rPr>
          <w:rFonts w:hint="eastAsia" w:ascii="仿宋_GB2312" w:hAnsi="仿宋_GB2312" w:eastAsia="仿宋_GB2312" w:cs="仿宋_GB2312"/>
          <w:b/>
          <w:bCs/>
          <w:color w:val="auto"/>
          <w:sz w:val="36"/>
          <w:szCs w:val="44"/>
          <w:highlight w:val="none"/>
        </w:rPr>
        <w:t xml:space="preserve">年    </w:t>
      </w:r>
      <w:r>
        <w:rPr>
          <w:rFonts w:hint="eastAsia" w:ascii="仿宋_GB2312" w:hAnsi="仿宋_GB2312" w:eastAsia="仿宋_GB2312" w:cs="仿宋_GB2312"/>
          <w:b/>
          <w:bCs/>
          <w:color w:val="auto"/>
          <w:sz w:val="36"/>
          <w:szCs w:val="44"/>
          <w:highlight w:val="none"/>
          <w:lang w:val="en-US" w:eastAsia="zh-CN"/>
        </w:rPr>
        <w:t>10</w:t>
      </w:r>
      <w:r>
        <w:rPr>
          <w:rFonts w:hint="eastAsia" w:ascii="仿宋_GB2312" w:hAnsi="仿宋_GB2312" w:eastAsia="仿宋_GB2312" w:cs="仿宋_GB2312"/>
          <w:b/>
          <w:bCs/>
          <w:color w:val="auto"/>
          <w:sz w:val="36"/>
          <w:szCs w:val="44"/>
          <w:highlight w:val="none"/>
        </w:rPr>
        <w:t xml:space="preserve">  月</w:t>
      </w:r>
    </w:p>
    <w:p>
      <w:pPr>
        <w:pStyle w:val="25"/>
        <w:jc w:val="center"/>
        <w:rPr>
          <w:rFonts w:ascii="仿宋_GB2312" w:hAnsi="仿宋_GB2312" w:eastAsia="仿宋_GB2312" w:cs="仿宋_GB2312"/>
          <w:color w:val="auto"/>
          <w:sz w:val="44"/>
          <w:szCs w:val="44"/>
          <w:highlight w:val="none"/>
          <w:lang w:val="zh-CN"/>
        </w:rPr>
      </w:pPr>
      <w:r>
        <w:rPr>
          <w:rFonts w:hint="eastAsia" w:ascii="仿宋_GB2312" w:hAnsi="仿宋_GB2312" w:eastAsia="仿宋_GB2312" w:cs="仿宋_GB2312"/>
          <w:color w:val="auto"/>
          <w:sz w:val="44"/>
          <w:szCs w:val="44"/>
          <w:highlight w:val="none"/>
          <w:lang w:val="zh-CN"/>
        </w:rPr>
        <w:t>目  录</w:t>
      </w:r>
    </w:p>
    <w:p>
      <w:pPr>
        <w:pStyle w:val="15"/>
        <w:tabs>
          <w:tab w:val="right" w:leader="dot" w:pos="8306"/>
        </w:tabs>
        <w:spacing w:line="360" w:lineRule="auto"/>
        <w:rPr>
          <w:color w:val="auto"/>
          <w:sz w:val="28"/>
          <w:szCs w:val="28"/>
          <w:highlight w:val="none"/>
        </w:rPr>
      </w:pPr>
    </w:p>
    <w:p>
      <w:pPr>
        <w:pStyle w:val="15"/>
        <w:tabs>
          <w:tab w:val="right" w:leader="dot" w:pos="8306"/>
        </w:tabs>
        <w:spacing w:line="360" w:lineRule="auto"/>
        <w:rPr>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r>
        <w:rPr>
          <w:color w:val="auto"/>
          <w:highlight w:val="none"/>
        </w:rPr>
        <w:fldChar w:fldCharType="begin"/>
      </w:r>
      <w:r>
        <w:rPr>
          <w:color w:val="auto"/>
          <w:highlight w:val="none"/>
        </w:rPr>
        <w:instrText xml:space="preserve"> HYPERLINK \l "_Toc21536" </w:instrText>
      </w:r>
      <w:r>
        <w:rPr>
          <w:color w:val="auto"/>
          <w:highlight w:val="none"/>
        </w:rPr>
        <w:fldChar w:fldCharType="separate"/>
      </w:r>
      <w:r>
        <w:rPr>
          <w:rFonts w:hint="eastAsia" w:ascii="仿宋" w:hAnsi="仿宋" w:eastAsia="仿宋" w:cs="仿宋"/>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_Toc21536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5"/>
        <w:tabs>
          <w:tab w:val="right" w:leader="dot" w:pos="8306"/>
        </w:tabs>
        <w:spacing w:line="360" w:lineRule="auto"/>
        <w:rPr>
          <w:color w:val="auto"/>
          <w:sz w:val="28"/>
          <w:szCs w:val="28"/>
          <w:highlight w:val="none"/>
        </w:rPr>
      </w:pPr>
      <w:r>
        <w:rPr>
          <w:color w:val="auto"/>
          <w:highlight w:val="none"/>
        </w:rPr>
        <w:fldChar w:fldCharType="begin"/>
      </w:r>
      <w:r>
        <w:rPr>
          <w:color w:val="auto"/>
          <w:highlight w:val="none"/>
        </w:rPr>
        <w:instrText xml:space="preserve"> HYPERLINK \l "_Toc17166"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color w:val="auto"/>
          <w:sz w:val="28"/>
          <w:szCs w:val="28"/>
          <w:highlight w:val="none"/>
        </w:rPr>
        <w:tab/>
      </w:r>
      <w:r>
        <w:rPr>
          <w:rFonts w:hint="eastAsia"/>
          <w:color w:val="auto"/>
          <w:sz w:val="28"/>
          <w:szCs w:val="28"/>
          <w:highlight w:val="none"/>
          <w:lang w:val="en-US" w:eastAsia="zh-CN"/>
        </w:rPr>
        <w:t>6</w:t>
      </w:r>
      <w:r>
        <w:rPr>
          <w:rFonts w:hint="eastAsia"/>
          <w:color w:val="auto"/>
          <w:sz w:val="28"/>
          <w:szCs w:val="28"/>
          <w:highlight w:val="none"/>
        </w:rPr>
        <w:fldChar w:fldCharType="end"/>
      </w:r>
    </w:p>
    <w:p>
      <w:pPr>
        <w:pStyle w:val="15"/>
        <w:tabs>
          <w:tab w:val="right" w:leader="dot" w:pos="8306"/>
        </w:tabs>
        <w:spacing w:line="36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"_Toc30334" </w:instrText>
      </w:r>
      <w:r>
        <w:rPr>
          <w:color w:val="auto"/>
          <w:highlight w:val="none"/>
        </w:rPr>
        <w:fldChar w:fldCharType="separate"/>
      </w:r>
      <w:r>
        <w:rPr>
          <w:rFonts w:hint="eastAsia" w:ascii="仿宋_GB2312" w:hAnsi="仿宋_GB2312" w:eastAsia="仿宋_GB2312" w:cs="仿宋_GB2312"/>
          <w:color w:val="auto"/>
          <w:sz w:val="28"/>
          <w:szCs w:val="28"/>
          <w:highlight w:val="none"/>
        </w:rPr>
        <w:t>第三章 招标人需求</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26</w:t>
      </w:r>
    </w:p>
    <w:p>
      <w:pPr>
        <w:pStyle w:val="15"/>
        <w:tabs>
          <w:tab w:val="right" w:leader="dot" w:pos="8306"/>
        </w:tabs>
        <w:spacing w:line="36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"_Toc31475" </w:instrText>
      </w:r>
      <w:r>
        <w:rPr>
          <w:color w:val="auto"/>
          <w:highlight w:val="none"/>
        </w:rPr>
        <w:fldChar w:fldCharType="separate"/>
      </w:r>
      <w:r>
        <w:rPr>
          <w:rFonts w:hint="eastAsia" w:ascii="仿宋_GB2312" w:hAnsi="仿宋_GB2312" w:eastAsia="仿宋_GB2312" w:cs="仿宋_GB2312"/>
          <w:color w:val="auto"/>
          <w:sz w:val="28"/>
          <w:szCs w:val="28"/>
          <w:highlight w:val="none"/>
        </w:rPr>
        <w:t>第四章 评审方法</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lang w:val="en-US" w:eastAsia="zh-CN"/>
        </w:rPr>
        <w:t>27</w:t>
      </w:r>
    </w:p>
    <w:p>
      <w:pPr>
        <w:pStyle w:val="15"/>
        <w:tabs>
          <w:tab w:val="right" w:leader="dot" w:pos="8306"/>
        </w:tabs>
        <w:spacing w:line="36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"_Toc18374" </w:instrText>
      </w:r>
      <w:r>
        <w:rPr>
          <w:color w:val="auto"/>
          <w:highlight w:val="none"/>
        </w:rPr>
        <w:fldChar w:fldCharType="separate"/>
      </w:r>
      <w:r>
        <w:rPr>
          <w:rFonts w:hint="eastAsia" w:ascii="仿宋_GB2312" w:hAnsi="仿宋_GB2312" w:eastAsia="仿宋_GB2312" w:cs="仿宋_GB2312"/>
          <w:color w:val="auto"/>
          <w:sz w:val="28"/>
          <w:szCs w:val="28"/>
          <w:highlight w:val="none"/>
        </w:rPr>
        <w:t>第五章 合同格式</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lang w:val="en-US" w:eastAsia="zh-CN"/>
        </w:rPr>
        <w:t>36</w:t>
      </w:r>
    </w:p>
    <w:p>
      <w:pPr>
        <w:pStyle w:val="15"/>
        <w:tabs>
          <w:tab w:val="right" w:leader="dot" w:pos="8306"/>
        </w:tabs>
        <w:spacing w:line="36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"_Toc23563" </w:instrText>
      </w:r>
      <w:r>
        <w:rPr>
          <w:color w:val="auto"/>
          <w:highlight w:val="none"/>
        </w:rPr>
        <w:fldChar w:fldCharType="separate"/>
      </w:r>
      <w:r>
        <w:rPr>
          <w:rFonts w:hint="eastAsia" w:ascii="仿宋_GB2312" w:hAnsi="仿宋_GB2312" w:eastAsia="仿宋_GB2312" w:cs="仿宋_GB2312"/>
          <w:color w:val="auto"/>
          <w:sz w:val="28"/>
          <w:szCs w:val="28"/>
          <w:highlight w:val="none"/>
        </w:rPr>
        <w:t>第六章 投标文件内容及格式</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lang w:val="en-US" w:eastAsia="zh-CN"/>
        </w:rPr>
        <w:t>46</w:t>
      </w:r>
    </w:p>
    <w:p>
      <w:pPr>
        <w:spacing w:line="360" w:lineRule="auto"/>
        <w:rPr>
          <w:color w:val="auto"/>
          <w:highlight w:val="none"/>
        </w:rPr>
      </w:pPr>
      <w:r>
        <w:rPr>
          <w:bCs/>
          <w:color w:val="auto"/>
          <w:sz w:val="28"/>
          <w:szCs w:val="28"/>
          <w:highlight w:val="none"/>
        </w:rPr>
        <w:fldChar w:fldCharType="end"/>
      </w:r>
    </w:p>
    <w:p>
      <w:pPr>
        <w:pStyle w:val="2"/>
        <w:adjustRightInd w:val="0"/>
        <w:snapToGrid w:val="0"/>
        <w:spacing w:before="0" w:after="0" w:line="360" w:lineRule="auto"/>
        <w:jc w:val="center"/>
        <w:rPr>
          <w:rFonts w:ascii="仿宋_GB2312" w:hAnsi="仿宋_GB2312" w:eastAsia="仿宋_GB2312" w:cs="仿宋_GB2312"/>
          <w:color w:val="auto"/>
          <w:highlight w:val="none"/>
        </w:rPr>
        <w:sectPr>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0" w:name="_Toc30996_WPSOffice_Level1"/>
      <w:bookmarkStart w:id="1" w:name="_Toc17034"/>
    </w:p>
    <w:p>
      <w:pPr>
        <w:pStyle w:val="2"/>
        <w:adjustRightInd w:val="0"/>
        <w:snapToGrid w:val="0"/>
        <w:spacing w:before="0" w:after="0" w:line="360" w:lineRule="auto"/>
        <w:ind w:firstLine="723" w:firstLineChars="200"/>
        <w:jc w:val="center"/>
        <w:rPr>
          <w:rFonts w:ascii="仿宋" w:hAnsi="仿宋" w:eastAsia="仿宋" w:cs="仿宋"/>
          <w:color w:val="auto"/>
          <w:sz w:val="36"/>
          <w:szCs w:val="36"/>
          <w:highlight w:val="none"/>
        </w:rPr>
      </w:pPr>
      <w:bookmarkStart w:id="2" w:name="_Toc21536"/>
      <w:r>
        <w:rPr>
          <w:rFonts w:hint="eastAsia" w:ascii="仿宋" w:hAnsi="仿宋" w:eastAsia="仿宋" w:cs="仿宋"/>
          <w:color w:val="auto"/>
          <w:sz w:val="36"/>
          <w:szCs w:val="36"/>
          <w:highlight w:val="none"/>
        </w:rPr>
        <w:t xml:space="preserve">第一章 </w:t>
      </w:r>
      <w:bookmarkEnd w:id="0"/>
      <w:bookmarkEnd w:id="1"/>
      <w:r>
        <w:rPr>
          <w:rFonts w:hint="eastAsia" w:ascii="仿宋" w:hAnsi="仿宋" w:eastAsia="仿宋" w:cs="仿宋"/>
          <w:color w:val="auto"/>
          <w:sz w:val="36"/>
          <w:szCs w:val="36"/>
          <w:highlight w:val="none"/>
        </w:rPr>
        <w:t>招标公告</w:t>
      </w:r>
      <w:bookmarkEnd w:id="2"/>
    </w:p>
    <w:p>
      <w:pPr>
        <w:adjustRightInd w:val="0"/>
        <w:snapToGrid w:val="0"/>
        <w:spacing w:line="360" w:lineRule="auto"/>
        <w:ind w:firstLine="420" w:firstLineChars="200"/>
        <w:jc w:val="center"/>
        <w:rPr>
          <w:rFonts w:ascii="仿宋" w:hAnsi="仿宋" w:eastAsia="仿宋" w:cs="仿宋"/>
          <w:color w:val="auto"/>
          <w:szCs w:val="21"/>
          <w:highlight w:val="none"/>
        </w:rPr>
      </w:pPr>
    </w:p>
    <w:p>
      <w:pPr>
        <w:adjustRightInd w:val="0"/>
        <w:snapToGrid w:val="0"/>
        <w:spacing w:line="360" w:lineRule="auto"/>
        <w:ind w:firstLine="422" w:firstLineChars="200"/>
        <w:rPr>
          <w:rFonts w:ascii="仿宋" w:hAnsi="仿宋" w:eastAsia="仿宋" w:cs="仿宋"/>
          <w:b/>
          <w:bCs/>
          <w:color w:val="auto"/>
          <w:szCs w:val="21"/>
          <w:highlight w:val="none"/>
        </w:rPr>
      </w:pPr>
    </w:p>
    <w:p>
      <w:pPr>
        <w:numPr>
          <w:ilvl w:val="0"/>
          <w:numId w:val="2"/>
        </w:num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招标条件和招标方式</w:t>
      </w:r>
    </w:p>
    <w:p>
      <w:pPr>
        <w:numPr>
          <w:ilvl w:val="1"/>
          <w:numId w:val="2"/>
        </w:num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招标条件</w:t>
      </w:r>
    </w:p>
    <w:p>
      <w:pPr>
        <w:pStyle w:val="17"/>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肇庆盈德油站项目招标代理服务采购项目 </w:t>
      </w:r>
      <w:r>
        <w:rPr>
          <w:rFonts w:hint="eastAsia" w:ascii="仿宋" w:hAnsi="仿宋" w:eastAsia="仿宋" w:cs="仿宋"/>
          <w:color w:val="auto"/>
          <w:sz w:val="28"/>
          <w:szCs w:val="28"/>
          <w:highlight w:val="none"/>
        </w:rPr>
        <w:t>已具备招标条件，经</w:t>
      </w:r>
      <w:r>
        <w:rPr>
          <w:rFonts w:hint="eastAsia" w:ascii="仿宋" w:hAnsi="仿宋" w:eastAsia="仿宋" w:cs="仿宋"/>
          <w:color w:val="auto"/>
          <w:sz w:val="28"/>
          <w:szCs w:val="28"/>
          <w:highlight w:val="none"/>
          <w:u w:val="single"/>
        </w:rPr>
        <w:t xml:space="preserve">  肇庆盈德企业管理有限公司   </w:t>
      </w:r>
      <w:r>
        <w:rPr>
          <w:rFonts w:hint="eastAsia" w:ascii="仿宋" w:hAnsi="仿宋" w:eastAsia="仿宋" w:cs="仿宋"/>
          <w:color w:val="auto"/>
          <w:sz w:val="28"/>
          <w:szCs w:val="28"/>
          <w:highlight w:val="none"/>
        </w:rPr>
        <w:t>批准，现对该项目采用资格后审方式实施招标活动，现邀请合格的潜在投标人参加本项目投标。</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1.2 项目编号：</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eastAsia="zh-CN"/>
        </w:rPr>
        <w:t>ZQJTJT（2023）-111</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招标方式：自主招标</w:t>
      </w:r>
    </w:p>
    <w:p>
      <w:pPr>
        <w:pStyle w:val="23"/>
        <w:rPr>
          <w:color w:val="auto"/>
          <w:sz w:val="28"/>
          <w:szCs w:val="28"/>
          <w:highlight w:val="none"/>
        </w:rPr>
      </w:pPr>
      <w:r>
        <w:rPr>
          <w:rFonts w:hint="eastAsia" w:ascii="仿宋" w:hAnsi="仿宋" w:eastAsia="仿宋" w:cs="仿宋"/>
          <w:color w:val="auto"/>
          <w:sz w:val="28"/>
          <w:szCs w:val="28"/>
          <w:highlight w:val="none"/>
        </w:rPr>
        <w:t>1.4 招标项目类型：</w:t>
      </w:r>
      <w:r>
        <w:rPr>
          <w:rFonts w:hint="eastAsia" w:ascii="仿宋" w:hAnsi="仿宋" w:eastAsia="仿宋" w:cs="仿宋"/>
          <w:color w:val="auto"/>
          <w:kern w:val="2"/>
          <w:sz w:val="28"/>
          <w:szCs w:val="28"/>
          <w:highlight w:val="none"/>
        </w:rPr>
        <w:t xml:space="preserve"> 服务</w:t>
      </w:r>
    </w:p>
    <w:p>
      <w:pPr>
        <w:numPr>
          <w:ilvl w:val="0"/>
          <w:numId w:val="2"/>
        </w:num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招标内容和范围</w:t>
      </w:r>
    </w:p>
    <w:p>
      <w:pPr>
        <w:numPr>
          <w:ilvl w:val="1"/>
          <w:numId w:val="2"/>
        </w:numPr>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本项目招标内容和范围：</w:t>
      </w:r>
      <w:r>
        <w:rPr>
          <w:rFonts w:hint="eastAsia" w:ascii="仿宋" w:hAnsi="仿宋" w:eastAsia="仿宋" w:cs="仿宋"/>
          <w:color w:val="auto"/>
          <w:sz w:val="28"/>
          <w:szCs w:val="28"/>
          <w:highlight w:val="none"/>
          <w:u w:val="single"/>
        </w:rPr>
        <w:t xml:space="preserve"> 委托招标代理服务单位负责肇庆盈德油站项目建设相关的工程施工单位、设施设备及工程监理等工程建设配套服务项目的</w:t>
      </w:r>
      <w:r>
        <w:rPr>
          <w:rFonts w:hint="eastAsia" w:ascii="仿宋" w:hAnsi="仿宋" w:eastAsia="仿宋" w:cs="仿宋"/>
          <w:color w:val="auto"/>
          <w:sz w:val="28"/>
          <w:szCs w:val="28"/>
          <w:highlight w:val="none"/>
          <w:u w:val="single"/>
          <w:lang w:val="en-US" w:eastAsia="zh-CN"/>
        </w:rPr>
        <w:t>公开招标工作</w:t>
      </w:r>
      <w:r>
        <w:rPr>
          <w:rFonts w:hint="eastAsia" w:ascii="仿宋" w:hAnsi="仿宋" w:eastAsia="仿宋" w:cs="仿宋"/>
          <w:color w:val="auto"/>
          <w:sz w:val="28"/>
          <w:szCs w:val="28"/>
          <w:highlight w:val="none"/>
        </w:rPr>
        <w:t xml:space="preserve"> 。</w:t>
      </w:r>
    </w:p>
    <w:p>
      <w:pPr>
        <w:numPr>
          <w:ilvl w:val="1"/>
          <w:numId w:val="2"/>
        </w:num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本项目服务期为：</w:t>
      </w:r>
      <w:r>
        <w:rPr>
          <w:rFonts w:hint="eastAsia" w:ascii="仿宋" w:hAnsi="仿宋" w:eastAsia="仿宋" w:cs="仿宋"/>
          <w:color w:val="auto"/>
          <w:sz w:val="28"/>
          <w:szCs w:val="28"/>
          <w:highlight w:val="none"/>
          <w:u w:val="single"/>
        </w:rPr>
        <w:t xml:space="preserve">自签订合同日起至各项目招标工作完成并移交资料后全部履行完毕之日终结 </w:t>
      </w:r>
      <w:r>
        <w:rPr>
          <w:rFonts w:hint="eastAsia" w:ascii="仿宋" w:hAnsi="仿宋" w:eastAsia="仿宋" w:cs="仿宋"/>
          <w:color w:val="auto"/>
          <w:sz w:val="28"/>
          <w:szCs w:val="28"/>
          <w:highlight w:val="none"/>
        </w:rPr>
        <w:t>。</w:t>
      </w:r>
    </w:p>
    <w:p>
      <w:pPr>
        <w:numPr>
          <w:ilvl w:val="1"/>
          <w:numId w:val="2"/>
        </w:num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本项目建设地点位于</w:t>
      </w:r>
      <w:r>
        <w:rPr>
          <w:rFonts w:hint="eastAsia" w:ascii="仿宋" w:hAnsi="仿宋" w:eastAsia="仿宋" w:cs="仿宋"/>
          <w:color w:val="auto"/>
          <w:sz w:val="28"/>
          <w:szCs w:val="28"/>
          <w:highlight w:val="none"/>
          <w:u w:val="single"/>
        </w:rPr>
        <w:t xml:space="preserve">  肇庆市119区肇庆大道北侧     </w:t>
      </w:r>
      <w:r>
        <w:rPr>
          <w:rFonts w:hint="eastAsia" w:ascii="仿宋" w:hAnsi="仿宋" w:eastAsia="仿宋" w:cs="仿宋"/>
          <w:color w:val="auto"/>
          <w:sz w:val="28"/>
          <w:szCs w:val="28"/>
          <w:highlight w:val="none"/>
        </w:rPr>
        <w:t xml:space="preserve"> 。</w:t>
      </w:r>
    </w:p>
    <w:p>
      <w:pPr>
        <w:pStyle w:val="17"/>
        <w:numPr>
          <w:ilvl w:val="1"/>
          <w:numId w:val="2"/>
        </w:num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服务质量要求和服务标准如下：</w:t>
      </w:r>
      <w:r>
        <w:rPr>
          <w:rFonts w:hint="eastAsia" w:ascii="仿宋" w:hAnsi="仿宋" w:eastAsia="仿宋" w:cs="仿宋"/>
          <w:color w:val="auto"/>
          <w:sz w:val="28"/>
          <w:szCs w:val="28"/>
          <w:highlight w:val="none"/>
          <w:u w:val="single"/>
        </w:rPr>
        <w:t xml:space="preserve"> 标的供应商为我司代理肇庆盈德油站项目建设的所有招标项目，须提供该相关项目招标文件前期咨询、编制文件并在相关指定网站发布公告，编制的招标文件应严格遵循《中华人民共和国招标投标法》、《中华人民共和国招标投标法实施条例》</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《工程建设项目施工招标投标办法》</w:t>
      </w:r>
      <w:r>
        <w:rPr>
          <w:rFonts w:hint="eastAsia" w:ascii="仿宋" w:hAnsi="仿宋" w:eastAsia="仿宋" w:cs="仿宋"/>
          <w:color w:val="auto"/>
          <w:sz w:val="28"/>
          <w:szCs w:val="28"/>
          <w:highlight w:val="none"/>
          <w:u w:val="single"/>
          <w:lang w:val="en-US" w:eastAsia="zh-CN"/>
        </w:rPr>
        <w:t>等法律法规和行业主管部门的要求</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numPr>
          <w:ilvl w:val="0"/>
          <w:numId w:val="2"/>
        </w:num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标段划分</w:t>
      </w:r>
      <w:r>
        <w:rPr>
          <w:rFonts w:hint="eastAsia" w:ascii="仿宋" w:hAnsi="仿宋" w:eastAsia="仿宋" w:cs="仿宋"/>
          <w:b/>
          <w:bCs/>
          <w:color w:val="auto"/>
          <w:sz w:val="28"/>
          <w:szCs w:val="28"/>
          <w:highlight w:val="none"/>
          <w:lang w:val="en-US" w:eastAsia="zh-CN"/>
        </w:rPr>
        <w:t>及最高限价</w:t>
      </w:r>
    </w:p>
    <w:p>
      <w:pPr>
        <w:adjustRightInd w:val="0"/>
        <w:snapToGrid w:val="0"/>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lang w:val="en-US" w:eastAsia="zh-CN"/>
        </w:rPr>
        <w:t>本项目分1个标段。</w:t>
      </w:r>
    </w:p>
    <w:tbl>
      <w:tblPr>
        <w:tblStyle w:val="18"/>
        <w:tblW w:w="805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1166"/>
        <w:gridCol w:w="4020"/>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622" w:hRule="atLeast"/>
          <w:tblCellSpacing w:w="0" w:type="dxa"/>
          <w:jc w:val="center"/>
        </w:trPr>
        <w:tc>
          <w:tcPr>
            <w:tcW w:w="1166" w:type="dxa"/>
            <w:shd w:val="clear" w:color="auto" w:fill="FFFFFF"/>
            <w:noWrap/>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标段号</w:t>
            </w:r>
          </w:p>
        </w:tc>
        <w:tc>
          <w:tcPr>
            <w:tcW w:w="4020" w:type="dxa"/>
            <w:shd w:val="clear" w:color="auto" w:fill="FFFFFF"/>
            <w:noWrap/>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标段名称</w:t>
            </w:r>
          </w:p>
        </w:tc>
        <w:tc>
          <w:tcPr>
            <w:tcW w:w="2872" w:type="dxa"/>
            <w:shd w:val="clear" w:color="auto" w:fill="FFFFFF"/>
            <w:noWrap/>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最高限价</w:t>
            </w:r>
          </w:p>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（最高报价扣率率）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tblCellSpacing w:w="0" w:type="dxa"/>
          <w:jc w:val="center"/>
        </w:trPr>
        <w:tc>
          <w:tcPr>
            <w:tcW w:w="1166" w:type="dxa"/>
            <w:shd w:val="clear" w:color="auto" w:fill="FFFFFF"/>
            <w:noWrap/>
            <w:vAlign w:val="center"/>
          </w:tcPr>
          <w:p>
            <w:pPr>
              <w:keepNext w:val="0"/>
              <w:keepLines w:val="0"/>
              <w:suppressLineNumbers w:val="0"/>
              <w:spacing w:before="0" w:beforeAutospacing="0" w:after="0" w:afterAutospacing="0" w:line="360" w:lineRule="auto"/>
              <w:ind w:left="0" w:right="0" w:firstLine="480" w:firstLineChars="200"/>
              <w:jc w:val="center"/>
              <w:rPr>
                <w:rFonts w:hint="default"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1</w:t>
            </w:r>
          </w:p>
        </w:tc>
        <w:tc>
          <w:tcPr>
            <w:tcW w:w="4020" w:type="dxa"/>
            <w:shd w:val="clear" w:color="auto" w:fill="FFFFFF"/>
            <w:noWrap/>
            <w:vAlign w:val="center"/>
          </w:tcPr>
          <w:p>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rPr>
              <w:t>肇庆盈德油站项目招标代理服务采购项目</w:t>
            </w:r>
            <w:r>
              <w:rPr>
                <w:rFonts w:hint="eastAsia" w:ascii="仿宋" w:hAnsi="仿宋" w:eastAsia="仿宋" w:cs="仿宋"/>
                <w:color w:val="auto"/>
                <w:kern w:val="0"/>
                <w:sz w:val="24"/>
                <w:szCs w:val="24"/>
                <w:highlight w:val="none"/>
                <w:shd w:val="clear" w:color="auto" w:fill="FFFFFF"/>
                <w:lang w:val="en-US" w:eastAsia="zh-CN"/>
              </w:rPr>
              <w:t>-最高投标限价</w:t>
            </w:r>
          </w:p>
        </w:tc>
        <w:tc>
          <w:tcPr>
            <w:tcW w:w="2872" w:type="dxa"/>
            <w:shd w:val="clear" w:color="auto" w:fill="FFFFFF"/>
            <w:noWrap/>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tblCellSpacing w:w="0" w:type="dxa"/>
          <w:jc w:val="center"/>
        </w:trPr>
        <w:tc>
          <w:tcPr>
            <w:tcW w:w="1166" w:type="dxa"/>
            <w:shd w:val="clear" w:color="auto" w:fill="FFFFFF"/>
            <w:noWrap/>
            <w:vAlign w:val="center"/>
          </w:tcPr>
          <w:p>
            <w:pPr>
              <w:keepNext w:val="0"/>
              <w:keepLines w:val="0"/>
              <w:suppressLineNumbers w:val="0"/>
              <w:spacing w:before="0" w:beforeAutospacing="0" w:after="0" w:afterAutospacing="0" w:line="360" w:lineRule="auto"/>
              <w:ind w:left="0" w:right="0" w:firstLine="480" w:firstLineChars="200"/>
              <w:jc w:val="center"/>
              <w:rPr>
                <w:rFonts w:hint="default"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备注</w:t>
            </w:r>
          </w:p>
        </w:tc>
        <w:tc>
          <w:tcPr>
            <w:tcW w:w="6892" w:type="dxa"/>
            <w:gridSpan w:val="2"/>
            <w:shd w:val="clear" w:color="auto" w:fill="FFFFFF"/>
            <w:noWrap/>
            <w:vAlign w:val="center"/>
          </w:tcPr>
          <w:p>
            <w:pPr>
              <w:keepNext w:val="0"/>
              <w:keepLines w:val="0"/>
              <w:suppressLineNumbers w:val="0"/>
              <w:spacing w:before="0" w:beforeAutospacing="0" w:after="0" w:afterAutospacing="0" w:line="360" w:lineRule="auto"/>
              <w:ind w:left="0" w:right="0"/>
              <w:rPr>
                <w:rFonts w:hint="default"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lang w:val="en-US" w:eastAsia="zh-CN"/>
              </w:rPr>
              <w:t>招标代理服务费的计算，</w:t>
            </w:r>
            <w:r>
              <w:rPr>
                <w:rFonts w:hint="eastAsia" w:ascii="仿宋" w:hAnsi="仿宋" w:eastAsia="仿宋" w:cs="仿宋"/>
                <w:color w:val="auto"/>
                <w:kern w:val="0"/>
                <w:sz w:val="24"/>
                <w:szCs w:val="24"/>
                <w:highlight w:val="none"/>
                <w:shd w:val="clear" w:color="auto" w:fill="FFFFFF"/>
              </w:rPr>
              <w:t>根据</w:t>
            </w:r>
            <w:r>
              <w:rPr>
                <w:rFonts w:hint="eastAsia" w:ascii="仿宋" w:hAnsi="仿宋" w:eastAsia="仿宋" w:cs="仿宋"/>
                <w:color w:val="auto"/>
                <w:kern w:val="0"/>
                <w:sz w:val="24"/>
                <w:szCs w:val="24"/>
                <w:highlight w:val="none"/>
                <w:shd w:val="clear" w:color="auto" w:fill="FFFFFF"/>
                <w:lang w:val="en-US" w:eastAsia="zh-CN"/>
              </w:rPr>
              <w:t>原</w:t>
            </w:r>
            <w:r>
              <w:rPr>
                <w:rFonts w:hint="eastAsia" w:ascii="仿宋" w:hAnsi="仿宋" w:eastAsia="仿宋" w:cs="仿宋"/>
                <w:color w:val="auto"/>
                <w:kern w:val="0"/>
                <w:sz w:val="24"/>
                <w:szCs w:val="24"/>
                <w:highlight w:val="none"/>
                <w:shd w:val="clear" w:color="auto" w:fill="FFFFFF"/>
              </w:rPr>
              <w:t>国家计委《关于印发&lt;招标代理服务收费管理暂行办法&gt;的通知》（计价格〔2002〕1980 号）</w:t>
            </w:r>
            <w:r>
              <w:rPr>
                <w:rFonts w:hint="eastAsia" w:ascii="仿宋" w:hAnsi="仿宋" w:eastAsia="仿宋" w:cs="仿宋"/>
                <w:color w:val="auto"/>
                <w:kern w:val="0"/>
                <w:sz w:val="24"/>
                <w:szCs w:val="24"/>
                <w:highlight w:val="none"/>
                <w:shd w:val="clear" w:color="auto" w:fill="FFFFFF"/>
                <w:lang w:val="en-US" w:eastAsia="zh-CN"/>
              </w:rPr>
              <w:t>的计费标准计算的招标代理服务费乘以</w:t>
            </w:r>
            <w:r>
              <w:rPr>
                <w:rFonts w:hint="eastAsia" w:ascii="仿宋" w:hAnsi="仿宋" w:eastAsia="仿宋" w:cs="仿宋"/>
                <w:color w:val="auto"/>
                <w:kern w:val="0"/>
                <w:sz w:val="24"/>
                <w:szCs w:val="24"/>
                <w:highlight w:val="none"/>
                <w:shd w:val="clear" w:color="auto" w:fill="FFFFFF"/>
              </w:rPr>
              <w:t>报</w:t>
            </w:r>
            <w:r>
              <w:rPr>
                <w:rFonts w:hint="eastAsia" w:ascii="仿宋" w:hAnsi="仿宋" w:eastAsia="仿宋" w:cs="仿宋"/>
                <w:color w:val="auto"/>
                <w:kern w:val="0"/>
                <w:sz w:val="24"/>
                <w:szCs w:val="24"/>
                <w:highlight w:val="none"/>
                <w:shd w:val="clear" w:color="auto" w:fill="FFFFFF"/>
                <w:lang w:val="en-US" w:eastAsia="zh-CN"/>
              </w:rPr>
              <w:t>价</w:t>
            </w:r>
            <w:r>
              <w:rPr>
                <w:rFonts w:hint="eastAsia" w:ascii="仿宋" w:hAnsi="仿宋" w:eastAsia="仿宋" w:cs="仿宋"/>
                <w:color w:val="auto"/>
                <w:kern w:val="0"/>
                <w:sz w:val="24"/>
                <w:szCs w:val="24"/>
                <w:highlight w:val="none"/>
                <w:shd w:val="clear" w:color="auto" w:fill="FFFFFF"/>
              </w:rPr>
              <w:t>折扣率</w:t>
            </w:r>
            <w:r>
              <w:rPr>
                <w:rFonts w:hint="eastAsia" w:ascii="仿宋" w:hAnsi="仿宋" w:eastAsia="仿宋" w:cs="仿宋"/>
                <w:color w:val="auto"/>
                <w:kern w:val="0"/>
                <w:sz w:val="24"/>
                <w:szCs w:val="24"/>
                <w:highlight w:val="none"/>
                <w:shd w:val="clear" w:color="auto" w:fill="FFFFFF"/>
                <w:lang w:eastAsia="zh-CN"/>
              </w:rPr>
              <w:t>。</w:t>
            </w:r>
            <w:r>
              <w:rPr>
                <w:rFonts w:hint="eastAsia" w:ascii="仿宋" w:hAnsi="仿宋" w:eastAsia="仿宋" w:cs="仿宋"/>
                <w:color w:val="auto"/>
                <w:kern w:val="0"/>
                <w:sz w:val="24"/>
                <w:szCs w:val="24"/>
                <w:highlight w:val="none"/>
                <w:shd w:val="clear" w:color="auto" w:fill="FFFFFF"/>
                <w:lang w:val="en-US" w:eastAsia="zh-CN"/>
              </w:rPr>
              <w:t>投标人的</w:t>
            </w:r>
            <w:r>
              <w:rPr>
                <w:rFonts w:hint="eastAsia" w:ascii="仿宋_GB2312" w:hAnsi="仿宋_GB2312" w:eastAsia="仿宋_GB2312" w:cs="仿宋_GB2312"/>
                <w:color w:val="auto"/>
                <w:sz w:val="24"/>
                <w:szCs w:val="24"/>
                <w:highlight w:val="none"/>
                <w:lang w:val="zh-CN"/>
              </w:rPr>
              <w:t>报价折扣率</w:t>
            </w:r>
            <w:r>
              <w:rPr>
                <w:rFonts w:hint="eastAsia" w:ascii="仿宋_GB2312" w:hAnsi="仿宋_GB2312" w:eastAsia="仿宋_GB2312" w:cs="仿宋_GB2312"/>
                <w:color w:val="auto"/>
                <w:sz w:val="24"/>
                <w:szCs w:val="24"/>
                <w:highlight w:val="none"/>
                <w:lang w:val="en-US" w:eastAsia="zh-CN"/>
              </w:rPr>
              <w:t>应≤60%，否</w:t>
            </w:r>
            <w:r>
              <w:rPr>
                <w:rFonts w:hint="eastAsia" w:ascii="仿宋_GB2312" w:hAnsi="仿宋_GB2312" w:eastAsia="仿宋_GB2312" w:cs="仿宋_GB2312"/>
                <w:color w:val="auto"/>
                <w:sz w:val="24"/>
                <w:szCs w:val="24"/>
                <w:highlight w:val="none"/>
                <w:lang w:val="zh-CN"/>
              </w:rPr>
              <w:t>则视为</w:t>
            </w:r>
            <w:r>
              <w:rPr>
                <w:rFonts w:hint="eastAsia" w:ascii="仿宋_GB2312" w:hAnsi="仿宋_GB2312" w:eastAsia="仿宋_GB2312" w:cs="仿宋_GB2312"/>
                <w:color w:val="auto"/>
                <w:sz w:val="24"/>
                <w:szCs w:val="24"/>
                <w:highlight w:val="none"/>
                <w:lang w:val="en-US" w:eastAsia="zh-CN"/>
              </w:rPr>
              <w:t>报价超过了最高限价</w:t>
            </w:r>
            <w:r>
              <w:rPr>
                <w:rFonts w:hint="eastAsia" w:ascii="仿宋_GB2312" w:hAnsi="仿宋_GB2312" w:eastAsia="仿宋_GB2312" w:cs="仿宋_GB2312"/>
                <w:color w:val="auto"/>
                <w:sz w:val="24"/>
                <w:szCs w:val="24"/>
                <w:highlight w:val="none"/>
                <w:lang w:val="zh-CN"/>
              </w:rPr>
              <w:t>，作</w:t>
            </w:r>
            <w:r>
              <w:rPr>
                <w:rFonts w:hint="eastAsia" w:ascii="仿宋_GB2312" w:hAnsi="仿宋_GB2312" w:eastAsia="仿宋_GB2312" w:cs="仿宋_GB2312"/>
                <w:color w:val="auto"/>
                <w:sz w:val="24"/>
                <w:szCs w:val="24"/>
                <w:highlight w:val="none"/>
                <w:lang w:val="en-US" w:eastAsia="zh-CN"/>
              </w:rPr>
              <w:t>废标</w:t>
            </w:r>
            <w:r>
              <w:rPr>
                <w:rFonts w:hint="eastAsia" w:ascii="仿宋_GB2312" w:hAnsi="仿宋_GB2312" w:eastAsia="仿宋_GB2312" w:cs="仿宋_GB2312"/>
                <w:color w:val="auto"/>
                <w:sz w:val="24"/>
                <w:szCs w:val="24"/>
                <w:highlight w:val="none"/>
                <w:lang w:val="zh-CN"/>
              </w:rPr>
              <w:t>处理。</w:t>
            </w:r>
          </w:p>
        </w:tc>
      </w:tr>
    </w:tbl>
    <w:p>
      <w:pPr>
        <w:adjustRightInd w:val="0"/>
        <w:snapToGrid w:val="0"/>
        <w:spacing w:line="360" w:lineRule="auto"/>
        <w:ind w:firstLine="560" w:firstLineChars="200"/>
        <w:rPr>
          <w:rFonts w:ascii="仿宋" w:hAnsi="仿宋" w:eastAsia="仿宋" w:cs="仿宋"/>
          <w:color w:val="auto"/>
          <w:sz w:val="28"/>
          <w:szCs w:val="28"/>
          <w:highlight w:val="none"/>
        </w:rPr>
      </w:pPr>
    </w:p>
    <w:p>
      <w:pPr>
        <w:numPr>
          <w:ilvl w:val="0"/>
          <w:numId w:val="2"/>
        </w:numPr>
        <w:adjustRightInd w:val="0"/>
        <w:snapToGrid w:val="0"/>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投标人的资格要求</w:t>
      </w:r>
      <w:r>
        <w:rPr>
          <w:rFonts w:hint="eastAsia" w:ascii="仿宋" w:hAnsi="仿宋" w:eastAsia="仿宋" w:cs="仿宋"/>
          <w:color w:val="auto"/>
          <w:sz w:val="28"/>
          <w:szCs w:val="28"/>
          <w:highlight w:val="none"/>
        </w:rPr>
        <w:t>：</w:t>
      </w:r>
    </w:p>
    <w:p>
      <w:pPr>
        <w:numPr>
          <w:ilvl w:val="1"/>
          <w:numId w:val="2"/>
        </w:numPr>
        <w:tabs>
          <w:tab w:val="left" w:pos="1980"/>
        </w:tab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投标人资格要求：</w:t>
      </w:r>
    </w:p>
    <w:p>
      <w:pPr>
        <w:pStyle w:val="17"/>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参加本项目的投标人应当是中华人民共和国境内的法人</w:t>
      </w:r>
      <w:r>
        <w:rPr>
          <w:rFonts w:hint="eastAsia" w:ascii="仿宋" w:hAnsi="仿宋" w:eastAsia="仿宋" w:cs="仿宋"/>
          <w:color w:val="auto"/>
          <w:sz w:val="28"/>
          <w:szCs w:val="28"/>
          <w:highlight w:val="none"/>
          <w:lang w:val="en-US" w:eastAsia="zh-CN"/>
        </w:rPr>
        <w:t>或其他组织</w:t>
      </w:r>
      <w:r>
        <w:rPr>
          <w:rFonts w:hint="eastAsia" w:ascii="仿宋" w:hAnsi="仿宋" w:eastAsia="仿宋" w:cs="仿宋"/>
          <w:color w:val="auto"/>
          <w:sz w:val="28"/>
          <w:szCs w:val="28"/>
          <w:highlight w:val="none"/>
        </w:rPr>
        <w:t>，同时还应具备如下条件：</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（3）具有履行合同所必需的设备和专业技术能力；</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项目负责人应当具备</w:t>
      </w:r>
      <w:r>
        <w:rPr>
          <w:rFonts w:hint="eastAsia" w:ascii="仿宋" w:hAnsi="仿宋" w:eastAsia="仿宋" w:cs="仿宋"/>
          <w:i/>
          <w:iCs/>
          <w:color w:val="auto"/>
          <w:sz w:val="28"/>
          <w:szCs w:val="28"/>
          <w:highlight w:val="none"/>
          <w:u w:val="single"/>
        </w:rPr>
        <w:t xml:space="preserve">  </w:t>
      </w:r>
      <w:r>
        <w:rPr>
          <w:rFonts w:hint="eastAsia" w:ascii="仿宋" w:hAnsi="仿宋" w:eastAsia="仿宋" w:cs="仿宋"/>
          <w:color w:val="auto"/>
          <w:sz w:val="28"/>
          <w:szCs w:val="28"/>
          <w:highlight w:val="none"/>
          <w:u w:val="single"/>
        </w:rPr>
        <w:t>从事招标行业两年以上经验，以招标代理机构缴纳社保的时间为准，工作经验计算时间截止到招标文件发出之日</w:t>
      </w:r>
      <w:r>
        <w:rPr>
          <w:rFonts w:hint="eastAsia" w:ascii="仿宋" w:hAnsi="仿宋" w:eastAsia="仿宋" w:cs="仿宋"/>
          <w:i/>
          <w:iCs/>
          <w:color w:val="auto"/>
          <w:sz w:val="28"/>
          <w:szCs w:val="28"/>
          <w:highlight w:val="none"/>
          <w:u w:val="single"/>
        </w:rPr>
        <w:t xml:space="preserve">   </w:t>
      </w:r>
      <w:r>
        <w:rPr>
          <w:rFonts w:hint="eastAsia" w:ascii="仿宋" w:hAnsi="仿宋" w:eastAsia="仿宋" w:cs="仿宋"/>
          <w:color w:val="auto"/>
          <w:sz w:val="28"/>
          <w:szCs w:val="28"/>
          <w:highlight w:val="none"/>
        </w:rPr>
        <w:t>资质条件。</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）法律、行政法规和本项目招标文件规定的其他条件。</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 投标人不得存在下列情形之一</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（1）与招标人存在利害关系且可能影响采购公正性。</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（2）与同一标段的其他投标人的单位负责人</w:t>
      </w:r>
      <w:r>
        <w:rPr>
          <w:rStyle w:val="22"/>
          <w:rFonts w:hint="eastAsia" w:ascii="仿宋" w:hAnsi="仿宋" w:eastAsia="仿宋" w:cs="仿宋"/>
          <w:b/>
          <w:bCs/>
          <w:color w:val="auto"/>
          <w:sz w:val="28"/>
          <w:szCs w:val="28"/>
          <w:highlight w:val="none"/>
        </w:rPr>
        <w:footnoteReference w:id="0"/>
      </w:r>
      <w:r>
        <w:rPr>
          <w:rFonts w:hint="eastAsia" w:ascii="仿宋" w:hAnsi="仿宋" w:eastAsia="仿宋" w:cs="仿宋"/>
          <w:color w:val="auto"/>
          <w:sz w:val="28"/>
          <w:szCs w:val="28"/>
          <w:highlight w:val="none"/>
        </w:rPr>
        <w:t>为同一人。</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（3）与同一标段的其他投标人存在直接控股</w:t>
      </w:r>
      <w:r>
        <w:rPr>
          <w:rStyle w:val="22"/>
          <w:rFonts w:hint="eastAsia" w:ascii="仿宋" w:hAnsi="仿宋" w:eastAsia="仿宋" w:cs="仿宋"/>
          <w:b/>
          <w:bCs/>
          <w:color w:val="auto"/>
          <w:sz w:val="28"/>
          <w:szCs w:val="28"/>
          <w:highlight w:val="none"/>
        </w:rPr>
        <w:footnoteReference w:id="1"/>
      </w:r>
      <w:r>
        <w:rPr>
          <w:rFonts w:hint="eastAsia" w:ascii="仿宋" w:hAnsi="仿宋" w:eastAsia="仿宋" w:cs="仿宋"/>
          <w:color w:val="auto"/>
          <w:sz w:val="28"/>
          <w:szCs w:val="28"/>
          <w:highlight w:val="none"/>
        </w:rPr>
        <w:t>关系。</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（4）与同一标段的其他投标人存在管理关系</w:t>
      </w:r>
      <w:r>
        <w:rPr>
          <w:rStyle w:val="22"/>
          <w:rFonts w:hint="eastAsia" w:ascii="仿宋" w:hAnsi="仿宋" w:eastAsia="仿宋" w:cs="仿宋"/>
          <w:b/>
          <w:bCs/>
          <w:color w:val="auto"/>
          <w:sz w:val="28"/>
          <w:szCs w:val="28"/>
          <w:highlight w:val="none"/>
        </w:rPr>
        <w:footnoteReference w:id="2"/>
      </w:r>
      <w:r>
        <w:rPr>
          <w:rFonts w:hint="eastAsia" w:ascii="仿宋" w:hAnsi="仿宋" w:eastAsia="仿宋" w:cs="仿宋"/>
          <w:color w:val="auto"/>
          <w:sz w:val="28"/>
          <w:szCs w:val="28"/>
          <w:highlight w:val="none"/>
        </w:rPr>
        <w:t>。</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（5）近三年内在经营活动中存在以下严重不良情形：</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①被本广东省以上行业主管部门依法暂停、取消投标或禁止参加招标活动的。</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②处于被责令停产停业、暂扣或者吊销执照、暂扣或者吊销许可证、吊销资质证书状态。</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③进入财产接管或清算程序，或被宣告破产，或其他丧失履约能力情形的。</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④根据肇庆市交通集团有限公司投标人管理要求，被禁止参与招标活动且处于有效期内的。</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⑤其他禁止情形：</w:t>
      </w:r>
      <w:r>
        <w:rPr>
          <w:rFonts w:hint="eastAsia" w:ascii="仿宋" w:hAnsi="仿宋" w:eastAsia="仿宋" w:cs="仿宋"/>
          <w:color w:val="auto"/>
          <w:sz w:val="28"/>
          <w:szCs w:val="28"/>
          <w:highlight w:val="none"/>
          <w:u w:val="single"/>
        </w:rPr>
        <w:t xml:space="preserve"> 代理机构及其单位负责人近三年因有违反招投标法行为而受到行政处罚    </w:t>
      </w:r>
      <w:r>
        <w:rPr>
          <w:rFonts w:hint="eastAsia" w:ascii="仿宋" w:hAnsi="仿宋" w:eastAsia="仿宋" w:cs="仿宋"/>
          <w:color w:val="auto"/>
          <w:sz w:val="28"/>
          <w:szCs w:val="28"/>
          <w:highlight w:val="none"/>
        </w:rPr>
        <w:t>。</w:t>
      </w:r>
    </w:p>
    <w:p>
      <w:pPr>
        <w:pStyle w:val="23"/>
        <w:numPr>
          <w:ilvl w:val="0"/>
          <w:numId w:val="3"/>
        </w:numPr>
        <w:ind w:firstLine="60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在国家企业信用信息公示系统（http://www.gsxt.gov.cn/）中被列入严重违法失信企业名单。</w:t>
      </w:r>
    </w:p>
    <w:p>
      <w:pPr>
        <w:pStyle w:val="24"/>
        <w:numPr>
          <w:ilvl w:val="0"/>
          <w:numId w:val="3"/>
        </w:numPr>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在“信用中国”网站（http://www.creditchina.gov.cn/）中被列入失信被执行人名单。</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 本次项目：不接受联合体参加招标活动。</w:t>
      </w:r>
    </w:p>
    <w:p>
      <w:pPr>
        <w:numPr>
          <w:ilvl w:val="0"/>
          <w:numId w:val="2"/>
        </w:num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招标文件的获取</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 登记时间</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u w:val="single"/>
          <w:lang w:val="en-US"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rPr>
        <w:t>日9：00时至</w:t>
      </w:r>
      <w:r>
        <w:rPr>
          <w:rFonts w:hint="eastAsia" w:ascii="仿宋" w:hAnsi="仿宋" w:eastAsia="仿宋" w:cs="仿宋"/>
          <w:color w:val="auto"/>
          <w:sz w:val="28"/>
          <w:szCs w:val="28"/>
          <w:highlight w:val="none"/>
          <w:u w:val="single"/>
          <w:lang w:val="en-US"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iCs/>
          <w:color w:val="auto"/>
          <w:sz w:val="28"/>
          <w:szCs w:val="28"/>
          <w:highlight w:val="none"/>
        </w:rPr>
        <w:t>2</w:t>
      </w:r>
      <w:r>
        <w:rPr>
          <w:rFonts w:hint="eastAsia" w:ascii="仿宋" w:hAnsi="仿宋" w:eastAsia="仿宋" w:cs="仿宋"/>
          <w:iCs/>
          <w:color w:val="auto"/>
          <w:sz w:val="28"/>
          <w:szCs w:val="28"/>
          <w:highlight w:val="none"/>
          <w:lang w:val="en-US" w:eastAsia="zh-CN"/>
        </w:rPr>
        <w:t>3</w:t>
      </w:r>
      <w:r>
        <w:rPr>
          <w:rFonts w:hint="eastAsia" w:ascii="仿宋" w:hAnsi="仿宋" w:eastAsia="仿宋" w:cs="仿宋"/>
          <w:iCs/>
          <w:color w:val="auto"/>
          <w:sz w:val="28"/>
          <w:szCs w:val="28"/>
          <w:highlight w:val="none"/>
        </w:rPr>
        <w:t>：</w:t>
      </w:r>
      <w:r>
        <w:rPr>
          <w:rFonts w:hint="eastAsia" w:ascii="仿宋" w:hAnsi="仿宋" w:eastAsia="仿宋" w:cs="仿宋"/>
          <w:iCs/>
          <w:color w:val="auto"/>
          <w:sz w:val="28"/>
          <w:szCs w:val="28"/>
          <w:highlight w:val="none"/>
          <w:lang w:val="en-US" w:eastAsia="zh-CN"/>
        </w:rPr>
        <w:t>59</w:t>
      </w:r>
      <w:r>
        <w:rPr>
          <w:rFonts w:hint="eastAsia" w:ascii="仿宋" w:hAnsi="仿宋" w:eastAsia="仿宋" w:cs="仿宋"/>
          <w:iCs/>
          <w:color w:val="auto"/>
          <w:sz w:val="28"/>
          <w:szCs w:val="28"/>
          <w:highlight w:val="none"/>
        </w:rPr>
        <w:t>时（北京时间）止。</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 获取方式</w:t>
      </w:r>
    </w:p>
    <w:p>
      <w:pPr>
        <w:pStyle w:val="17"/>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u w:val="single"/>
        </w:rPr>
        <w:t>肇庆市交通集团电子采购平台</w:t>
      </w:r>
      <w:r>
        <w:rPr>
          <w:rFonts w:hint="eastAsia" w:ascii="仿宋" w:hAnsi="仿宋" w:eastAsia="仿宋" w:cs="仿宋"/>
          <w:color w:val="auto"/>
          <w:sz w:val="28"/>
          <w:szCs w:val="28"/>
          <w:highlight w:val="none"/>
        </w:rPr>
        <w:t>下载招标文件</w:t>
      </w:r>
      <w:r>
        <w:rPr>
          <w:rFonts w:hint="eastAsia" w:ascii="仿宋" w:hAnsi="仿宋" w:eastAsia="仿宋" w:cs="仿宋"/>
          <w:color w:val="auto"/>
          <w:sz w:val="28"/>
          <w:szCs w:val="28"/>
          <w:highlight w:val="none"/>
          <w:lang w:eastAsia="zh-CN"/>
        </w:rPr>
        <w:t>。</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 交纳招标文件工本费</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不收费。</w:t>
      </w:r>
    </w:p>
    <w:p>
      <w:pPr>
        <w:pStyle w:val="17"/>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 联系人</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在购买或领取招标文件时务必填写本次投标业务的联系人，在招标过程中的相关信息将以短信形式发送到该联系人手机上。自购买或领取招标文件之日起，投标人应保证其提供的联系方式一直有效，以便及时收到招标人发出的函件，否则招标人不承担由此引起的一切后果。</w:t>
      </w:r>
    </w:p>
    <w:p>
      <w:pPr>
        <w:numPr>
          <w:ilvl w:val="0"/>
          <w:numId w:val="2"/>
        </w:num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投标文件递交</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 投标文件递交截止时间</w:t>
      </w:r>
    </w:p>
    <w:p>
      <w:pPr>
        <w:adjustRightInd w:val="0"/>
        <w:snapToGrid w:val="0"/>
        <w:spacing w:line="360" w:lineRule="auto"/>
        <w:ind w:firstLine="560" w:firstLineChars="200"/>
        <w:rPr>
          <w:rFonts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2023</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10</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31</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10</w:t>
      </w:r>
      <w:r>
        <w:rPr>
          <w:rFonts w:hint="eastAsia" w:ascii="仿宋" w:hAnsi="仿宋" w:eastAsia="仿宋" w:cs="仿宋"/>
          <w:bCs/>
          <w:color w:val="auto"/>
          <w:sz w:val="28"/>
          <w:szCs w:val="28"/>
          <w:highlight w:val="none"/>
          <w:u w:val="single"/>
        </w:rPr>
        <w:t>时</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递交地址</w:t>
      </w:r>
    </w:p>
    <w:p>
      <w:pPr>
        <w:pStyle w:val="17"/>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加密上传到</w:t>
      </w:r>
      <w:r>
        <w:rPr>
          <w:rFonts w:hint="eastAsia" w:ascii="仿宋" w:hAnsi="仿宋" w:eastAsia="仿宋" w:cs="仿宋"/>
          <w:color w:val="auto"/>
          <w:sz w:val="28"/>
          <w:szCs w:val="28"/>
          <w:highlight w:val="none"/>
          <w:u w:val="single"/>
        </w:rPr>
        <w:t>肇庆市交通集团电子采购平台</w:t>
      </w:r>
      <w:r>
        <w:rPr>
          <w:rFonts w:hint="eastAsia" w:ascii="仿宋" w:hAnsi="仿宋" w:eastAsia="仿宋" w:cs="仿宋"/>
          <w:color w:val="auto"/>
          <w:sz w:val="28"/>
          <w:szCs w:val="28"/>
          <w:highlight w:val="none"/>
        </w:rPr>
        <w:t>。</w:t>
      </w:r>
    </w:p>
    <w:p>
      <w:pPr>
        <w:numPr>
          <w:ilvl w:val="0"/>
          <w:numId w:val="2"/>
        </w:num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投标文件的开启</w:t>
      </w:r>
    </w:p>
    <w:p>
      <w:pPr>
        <w:pStyle w:val="23"/>
        <w:ind w:firstLine="560" w:firstLineChars="200"/>
        <w:rPr>
          <w:rFonts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rPr>
        <w:t>投标文件开启时间：</w:t>
      </w:r>
      <w:r>
        <w:rPr>
          <w:rFonts w:hint="eastAsia" w:ascii="仿宋" w:hAnsi="仿宋" w:eastAsia="仿宋" w:cs="仿宋"/>
          <w:color w:val="auto"/>
          <w:spacing w:val="0"/>
          <w:kern w:val="2"/>
          <w:sz w:val="28"/>
          <w:szCs w:val="28"/>
          <w:highlight w:val="none"/>
          <w:u w:val="single"/>
        </w:rPr>
        <w:t xml:space="preserve"> </w:t>
      </w:r>
      <w:r>
        <w:rPr>
          <w:rFonts w:hint="eastAsia" w:ascii="仿宋" w:hAnsi="仿宋" w:eastAsia="仿宋" w:cs="仿宋"/>
          <w:color w:val="auto"/>
          <w:spacing w:val="0"/>
          <w:kern w:val="2"/>
          <w:sz w:val="28"/>
          <w:szCs w:val="28"/>
          <w:highlight w:val="none"/>
          <w:u w:val="single"/>
          <w:lang w:val="en-US" w:eastAsia="zh-CN"/>
        </w:rPr>
        <w:t>2023</w:t>
      </w:r>
      <w:r>
        <w:rPr>
          <w:rFonts w:hint="eastAsia" w:ascii="仿宋" w:hAnsi="仿宋" w:eastAsia="仿宋" w:cs="仿宋"/>
          <w:color w:val="auto"/>
          <w:spacing w:val="0"/>
          <w:kern w:val="2"/>
          <w:sz w:val="28"/>
          <w:szCs w:val="28"/>
          <w:highlight w:val="none"/>
        </w:rPr>
        <w:t>年</w:t>
      </w:r>
      <w:r>
        <w:rPr>
          <w:rFonts w:hint="eastAsia" w:ascii="仿宋" w:hAnsi="仿宋" w:eastAsia="仿宋" w:cs="仿宋"/>
          <w:color w:val="auto"/>
          <w:spacing w:val="0"/>
          <w:kern w:val="2"/>
          <w:sz w:val="28"/>
          <w:szCs w:val="28"/>
          <w:highlight w:val="none"/>
          <w:u w:val="single"/>
          <w:lang w:val="en-US" w:eastAsia="zh-CN"/>
        </w:rPr>
        <w:t>10</w:t>
      </w:r>
      <w:r>
        <w:rPr>
          <w:rFonts w:hint="eastAsia" w:ascii="仿宋" w:hAnsi="仿宋" w:eastAsia="仿宋" w:cs="仿宋"/>
          <w:color w:val="auto"/>
          <w:spacing w:val="0"/>
          <w:kern w:val="2"/>
          <w:sz w:val="28"/>
          <w:szCs w:val="28"/>
          <w:highlight w:val="none"/>
        </w:rPr>
        <w:t>月</w:t>
      </w:r>
      <w:r>
        <w:rPr>
          <w:rFonts w:hint="eastAsia" w:ascii="仿宋" w:hAnsi="仿宋" w:eastAsia="仿宋" w:cs="仿宋"/>
          <w:color w:val="auto"/>
          <w:spacing w:val="0"/>
          <w:kern w:val="2"/>
          <w:sz w:val="28"/>
          <w:szCs w:val="28"/>
          <w:highlight w:val="none"/>
          <w:u w:val="single"/>
          <w:lang w:val="en-US" w:eastAsia="zh-CN"/>
        </w:rPr>
        <w:t>31</w:t>
      </w:r>
      <w:r>
        <w:rPr>
          <w:rFonts w:hint="eastAsia" w:ascii="仿宋" w:hAnsi="仿宋" w:eastAsia="仿宋" w:cs="仿宋"/>
          <w:color w:val="auto"/>
          <w:spacing w:val="0"/>
          <w:kern w:val="2"/>
          <w:sz w:val="28"/>
          <w:szCs w:val="28"/>
          <w:highlight w:val="none"/>
        </w:rPr>
        <w:t>日</w:t>
      </w:r>
      <w:r>
        <w:rPr>
          <w:rFonts w:hint="eastAsia" w:ascii="仿宋" w:hAnsi="仿宋" w:eastAsia="仿宋" w:cs="仿宋"/>
          <w:color w:val="auto"/>
          <w:spacing w:val="0"/>
          <w:kern w:val="2"/>
          <w:sz w:val="28"/>
          <w:szCs w:val="28"/>
          <w:highlight w:val="none"/>
          <w:u w:val="single"/>
          <w:lang w:val="en-US" w:eastAsia="zh-CN"/>
        </w:rPr>
        <w:t>10</w:t>
      </w:r>
      <w:r>
        <w:rPr>
          <w:rFonts w:hint="eastAsia" w:ascii="仿宋" w:hAnsi="仿宋" w:eastAsia="仿宋" w:cs="仿宋"/>
          <w:color w:val="auto"/>
          <w:spacing w:val="0"/>
          <w:kern w:val="2"/>
          <w:sz w:val="28"/>
          <w:szCs w:val="28"/>
          <w:highlight w:val="none"/>
        </w:rPr>
        <w:t>时</w:t>
      </w:r>
      <w:r>
        <w:rPr>
          <w:rFonts w:hint="eastAsia" w:ascii="仿宋" w:hAnsi="仿宋" w:eastAsia="仿宋" w:cs="仿宋"/>
          <w:color w:val="auto"/>
          <w:spacing w:val="0"/>
          <w:kern w:val="2"/>
          <w:sz w:val="28"/>
          <w:szCs w:val="28"/>
          <w:highlight w:val="none"/>
          <w:u w:val="single"/>
          <w:lang w:val="en-US" w:eastAsia="zh-CN"/>
        </w:rPr>
        <w:t>00</w:t>
      </w:r>
      <w:r>
        <w:rPr>
          <w:rFonts w:hint="eastAsia" w:ascii="仿宋" w:hAnsi="仿宋" w:eastAsia="仿宋" w:cs="仿宋"/>
          <w:color w:val="auto"/>
          <w:spacing w:val="0"/>
          <w:kern w:val="2"/>
          <w:sz w:val="28"/>
          <w:szCs w:val="28"/>
          <w:highlight w:val="none"/>
        </w:rPr>
        <w:t>分。地点：</w:t>
      </w:r>
      <w:r>
        <w:rPr>
          <w:rFonts w:hint="eastAsia" w:ascii="仿宋" w:hAnsi="仿宋" w:eastAsia="仿宋" w:cs="仿宋"/>
          <w:bCs/>
          <w:color w:val="auto"/>
          <w:sz w:val="28"/>
          <w:szCs w:val="28"/>
          <w:highlight w:val="none"/>
          <w:u w:val="single"/>
        </w:rPr>
        <w:t>肇庆市交通集团有限公司二楼矿业会议室。</w:t>
      </w:r>
    </w:p>
    <w:p>
      <w:pPr>
        <w:numPr>
          <w:ilvl w:val="0"/>
          <w:numId w:val="2"/>
        </w:num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其他</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 登录</w:t>
      </w:r>
    </w:p>
    <w:p>
      <w:pPr>
        <w:adjustRightInd w:val="0"/>
        <w:snapToGrid w:val="0"/>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本项目通过</w:t>
      </w:r>
      <w:r>
        <w:rPr>
          <w:rFonts w:hint="eastAsia" w:ascii="仿宋" w:hAnsi="仿宋" w:eastAsia="仿宋" w:cs="仿宋"/>
          <w:bCs/>
          <w:color w:val="auto"/>
          <w:sz w:val="28"/>
          <w:szCs w:val="28"/>
          <w:highlight w:val="none"/>
          <w:u w:val="single"/>
        </w:rPr>
        <w:t>肇庆市交通集团有限公司电子采购</w:t>
      </w:r>
      <w:r>
        <w:rPr>
          <w:rFonts w:hint="eastAsia" w:ascii="仿宋" w:hAnsi="仿宋" w:eastAsia="仿宋" w:cs="仿宋"/>
          <w:bCs/>
          <w:color w:val="auto"/>
          <w:sz w:val="28"/>
          <w:szCs w:val="28"/>
          <w:highlight w:val="none"/>
        </w:rPr>
        <w:t>平台提供投标人注册、登记获取招标文件、下载招标文件、递交投标文件、澄清说明和补正等功能。投标人须访问</w:t>
      </w:r>
      <w:r>
        <w:rPr>
          <w:rFonts w:hint="eastAsia" w:ascii="仿宋" w:hAnsi="仿宋" w:eastAsia="仿宋" w:cs="仿宋"/>
          <w:bCs/>
          <w:color w:val="auto"/>
          <w:sz w:val="28"/>
          <w:szCs w:val="28"/>
          <w:highlight w:val="none"/>
          <w:u w:val="single"/>
        </w:rPr>
        <w:t>肇庆市交通集团有限公司电子采购</w:t>
      </w:r>
      <w:r>
        <w:rPr>
          <w:rFonts w:hint="eastAsia" w:ascii="仿宋" w:hAnsi="仿宋" w:eastAsia="仿宋" w:cs="仿宋"/>
          <w:bCs/>
          <w:color w:val="auto"/>
          <w:sz w:val="28"/>
          <w:szCs w:val="28"/>
          <w:highlight w:val="none"/>
        </w:rPr>
        <w:t>平台完成注册、交费、下载等有关操作。</w:t>
      </w:r>
    </w:p>
    <w:p>
      <w:pPr>
        <w:keepNext/>
        <w:keepLines/>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9. 质疑与投诉</w:t>
      </w:r>
    </w:p>
    <w:p>
      <w:pPr>
        <w:widowControl/>
        <w:adjustRightInd w:val="0"/>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认为自己的权益受到损害的，可以在知道或者应知其权益受到损害之日起七个工作日内，向招标人提出质疑。质疑须以书面形式提出，列明质疑事项及相关依据，联系人、联系电话、传真、详细地址、邮编等基本信息并加盖公章。格式自拟。</w:t>
      </w:r>
    </w:p>
    <w:p>
      <w:pPr>
        <w:widowControl/>
        <w:adjustRightInd w:val="0"/>
        <w:snapToGrid w:val="0"/>
        <w:spacing w:line="360" w:lineRule="auto"/>
        <w:ind w:firstLine="562" w:firstLineChars="200"/>
        <w:jc w:val="lef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 其他补充事宜</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 特别提示：本招标项目为企业招标，不属于依法必须公开招标和政府采购范围。</w:t>
      </w:r>
    </w:p>
    <w:p>
      <w:pPr>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12. 联系方式。</w:t>
      </w:r>
    </w:p>
    <w:p>
      <w:pPr>
        <w:widowControl/>
        <w:adjustRightInd w:val="0"/>
        <w:snapToGrid w:val="0"/>
        <w:spacing w:line="360" w:lineRule="auto"/>
        <w:ind w:firstLine="560" w:firstLineChars="200"/>
        <w:jc w:val="left"/>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招标人</w:t>
      </w: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sz w:val="28"/>
          <w:szCs w:val="28"/>
          <w:highlight w:val="none"/>
          <w:u w:val="single"/>
        </w:rPr>
        <w:t>　肇庆盈德企业管理有限公司　</w:t>
      </w:r>
    </w:p>
    <w:p>
      <w:pPr>
        <w:widowControl/>
        <w:adjustRightInd w:val="0"/>
        <w:snapToGrid w:val="0"/>
        <w:spacing w:line="360" w:lineRule="auto"/>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rPr>
        <w:t xml:space="preserve">地  址： </w:t>
      </w:r>
      <w:r>
        <w:rPr>
          <w:rFonts w:hint="eastAsia" w:ascii="仿宋" w:hAnsi="仿宋" w:eastAsia="仿宋" w:cs="仿宋"/>
          <w:color w:val="auto"/>
          <w:sz w:val="28"/>
          <w:szCs w:val="28"/>
          <w:highlight w:val="none"/>
          <w:u w:val="single"/>
        </w:rPr>
        <w:t>　肇庆市端州区江滨西路3号航运大楼5楼　　　　　　　　　</w:t>
      </w:r>
    </w:p>
    <w:p>
      <w:pPr>
        <w:widowControl/>
        <w:adjustRightInd w:val="0"/>
        <w:snapToGrid w:val="0"/>
        <w:spacing w:line="360" w:lineRule="auto"/>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联系人：</w:t>
      </w:r>
      <w:r>
        <w:rPr>
          <w:rFonts w:hint="eastAsia" w:ascii="仿宋" w:hAnsi="仿宋" w:eastAsia="仿宋" w:cs="仿宋"/>
          <w:i/>
          <w:iCs/>
          <w:color w:val="auto"/>
          <w:sz w:val="28"/>
          <w:szCs w:val="28"/>
          <w:highlight w:val="none"/>
          <w:u w:val="single"/>
        </w:rPr>
        <w:t xml:space="preserve">  黄先生、朱先生                   </w:t>
      </w:r>
    </w:p>
    <w:p>
      <w:pPr>
        <w:widowControl/>
        <w:adjustRightInd w:val="0"/>
        <w:snapToGrid w:val="0"/>
        <w:spacing w:line="360" w:lineRule="auto"/>
        <w:ind w:firstLine="560" w:firstLineChars="200"/>
        <w:jc w:val="left"/>
        <w:rPr>
          <w:rFonts w:ascii="仿宋" w:hAnsi="仿宋" w:eastAsia="仿宋" w:cs="仿宋"/>
          <w:color w:val="auto"/>
          <w:sz w:val="28"/>
          <w:szCs w:val="28"/>
          <w:highlight w:val="none"/>
          <w:u w:val="single"/>
        </w:rPr>
      </w:pPr>
      <w:r>
        <w:rPr>
          <w:rFonts w:hint="eastAsia" w:ascii="仿宋" w:hAnsi="仿宋" w:eastAsia="仿宋" w:cs="仿宋"/>
          <w:color w:val="auto"/>
          <w:kern w:val="0"/>
          <w:sz w:val="28"/>
          <w:szCs w:val="28"/>
          <w:highlight w:val="none"/>
        </w:rPr>
        <w:t>联系方式：</w:t>
      </w:r>
      <w:r>
        <w:rPr>
          <w:rFonts w:hint="eastAsia" w:ascii="仿宋" w:hAnsi="仿宋" w:eastAsia="仿宋" w:cs="仿宋"/>
          <w:color w:val="auto"/>
          <w:sz w:val="28"/>
          <w:szCs w:val="28"/>
          <w:highlight w:val="none"/>
          <w:u w:val="single"/>
        </w:rPr>
        <w:t>　0758-2244202（办公）、13432400785（黄）、13536970972（朱）　　　　　　　　　</w:t>
      </w:r>
    </w:p>
    <w:p>
      <w:pPr>
        <w:adjustRightInd w:val="0"/>
        <w:snapToGrid w:val="0"/>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电子邮箱：</w:t>
      </w:r>
      <w:r>
        <w:rPr>
          <w:rFonts w:hint="eastAsia" w:ascii="仿宋" w:hAnsi="仿宋" w:eastAsia="仿宋" w:cs="仿宋"/>
          <w:color w:val="auto"/>
          <w:sz w:val="28"/>
          <w:szCs w:val="28"/>
          <w:highlight w:val="none"/>
          <w:u w:val="single"/>
        </w:rPr>
        <w:t>　jy2244202@163.com　　　　</w:t>
      </w:r>
    </w:p>
    <w:p>
      <w:pPr>
        <w:widowControl/>
        <w:adjustRightInd w:val="0"/>
        <w:snapToGrid w:val="0"/>
        <w:spacing w:line="360" w:lineRule="auto"/>
        <w:ind w:firstLine="560" w:firstLineChars="200"/>
        <w:jc w:val="right"/>
        <w:rPr>
          <w:rFonts w:hint="eastAsia" w:ascii="仿宋" w:hAnsi="仿宋" w:eastAsia="仿宋" w:cs="仿宋"/>
          <w:color w:val="auto"/>
          <w:sz w:val="28"/>
          <w:szCs w:val="28"/>
          <w:highlight w:val="none"/>
          <w:u w:val="single"/>
        </w:rPr>
      </w:pPr>
    </w:p>
    <w:p>
      <w:pPr>
        <w:widowControl/>
        <w:adjustRightInd w:val="0"/>
        <w:snapToGrid w:val="0"/>
        <w:spacing w:line="360" w:lineRule="auto"/>
        <w:ind w:firstLine="560" w:firstLineChars="200"/>
        <w:jc w:val="right"/>
        <w:rPr>
          <w:rFonts w:hint="eastAsia" w:ascii="仿宋" w:hAnsi="仿宋" w:eastAsia="仿宋" w:cs="仿宋"/>
          <w:color w:val="auto"/>
          <w:sz w:val="28"/>
          <w:szCs w:val="28"/>
          <w:highlight w:val="none"/>
          <w:u w:val="single"/>
        </w:rPr>
      </w:pPr>
    </w:p>
    <w:p>
      <w:pPr>
        <w:widowControl/>
        <w:adjustRightInd w:val="0"/>
        <w:snapToGrid w:val="0"/>
        <w:spacing w:line="360" w:lineRule="auto"/>
        <w:ind w:firstLine="560" w:firstLineChars="200"/>
        <w:jc w:val="right"/>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 xml:space="preserve"> 肇庆盈德企业管理有限公司（</w:t>
      </w:r>
      <w:r>
        <w:rPr>
          <w:rFonts w:hint="eastAsia" w:ascii="仿宋" w:hAnsi="仿宋" w:eastAsia="仿宋" w:cs="仿宋"/>
          <w:color w:val="auto"/>
          <w:sz w:val="28"/>
          <w:szCs w:val="28"/>
          <w:highlight w:val="none"/>
          <w:u w:val="none"/>
          <w:lang w:val="en-US" w:eastAsia="zh-CN"/>
        </w:rPr>
        <w:t>盖</w:t>
      </w:r>
      <w:r>
        <w:rPr>
          <w:rFonts w:hint="eastAsia" w:ascii="仿宋" w:hAnsi="仿宋" w:eastAsia="仿宋" w:cs="仿宋"/>
          <w:color w:val="auto"/>
          <w:sz w:val="28"/>
          <w:szCs w:val="28"/>
          <w:highlight w:val="none"/>
          <w:u w:val="none"/>
        </w:rPr>
        <w:t>单位章）</w:t>
      </w:r>
    </w:p>
    <w:p>
      <w:pPr>
        <w:pStyle w:val="17"/>
        <w:spacing w:line="360" w:lineRule="auto"/>
        <w:ind w:firstLine="560" w:firstLineChars="200"/>
        <w:jc w:val="center"/>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2023</w:t>
      </w:r>
      <w:r>
        <w:rPr>
          <w:rFonts w:hint="eastAsia" w:ascii="仿宋" w:hAnsi="仿宋" w:eastAsia="仿宋" w:cs="仿宋"/>
          <w:color w:val="auto"/>
          <w:sz w:val="28"/>
          <w:szCs w:val="28"/>
          <w:highlight w:val="none"/>
          <w:u w:val="none"/>
        </w:rPr>
        <w:t xml:space="preserve"> 年 </w:t>
      </w:r>
      <w:r>
        <w:rPr>
          <w:rFonts w:hint="eastAsia" w:ascii="仿宋" w:hAnsi="仿宋" w:eastAsia="仿宋" w:cs="仿宋"/>
          <w:color w:val="auto"/>
          <w:sz w:val="28"/>
          <w:szCs w:val="28"/>
          <w:highlight w:val="none"/>
          <w:u w:val="none"/>
          <w:lang w:val="en-US" w:eastAsia="zh-CN"/>
        </w:rPr>
        <w:t>10</w:t>
      </w:r>
      <w:r>
        <w:rPr>
          <w:rFonts w:hint="eastAsia" w:ascii="仿宋" w:hAnsi="仿宋" w:eastAsia="仿宋" w:cs="仿宋"/>
          <w:color w:val="auto"/>
          <w:sz w:val="28"/>
          <w:szCs w:val="28"/>
          <w:highlight w:val="none"/>
          <w:u w:val="none"/>
        </w:rPr>
        <w:t xml:space="preserve"> 月 </w:t>
      </w:r>
      <w:r>
        <w:rPr>
          <w:rFonts w:hint="eastAsia" w:ascii="仿宋" w:hAnsi="仿宋" w:eastAsia="仿宋" w:cs="仿宋"/>
          <w:color w:val="auto"/>
          <w:sz w:val="28"/>
          <w:szCs w:val="28"/>
          <w:highlight w:val="none"/>
          <w:u w:val="none"/>
          <w:lang w:val="en-US" w:eastAsia="zh-CN"/>
        </w:rPr>
        <w:t>24</w:t>
      </w:r>
      <w:r>
        <w:rPr>
          <w:rFonts w:hint="eastAsia" w:ascii="仿宋" w:hAnsi="仿宋" w:eastAsia="仿宋" w:cs="仿宋"/>
          <w:color w:val="auto"/>
          <w:sz w:val="28"/>
          <w:szCs w:val="28"/>
          <w:highlight w:val="none"/>
          <w:u w:val="none"/>
        </w:rPr>
        <w:t xml:space="preserve"> 日</w:t>
      </w:r>
    </w:p>
    <w:p>
      <w:pPr>
        <w:adjustRightInd w:val="0"/>
        <w:snapToGrid w:val="0"/>
        <w:spacing w:line="360" w:lineRule="auto"/>
        <w:ind w:firstLine="560" w:firstLineChars="200"/>
        <w:rPr>
          <w:rFonts w:ascii="仿宋" w:hAnsi="仿宋" w:eastAsia="仿宋" w:cs="仿宋"/>
          <w:color w:val="auto"/>
          <w:sz w:val="28"/>
          <w:szCs w:val="28"/>
          <w:highlight w:val="none"/>
          <w:u w:val="single"/>
        </w:rPr>
      </w:pPr>
    </w:p>
    <w:p>
      <w:pPr>
        <w:adjustRightInd w:val="0"/>
        <w:snapToGrid w:val="0"/>
        <w:spacing w:line="360" w:lineRule="auto"/>
        <w:ind w:firstLine="562" w:firstLineChars="200"/>
        <w:rPr>
          <w:rFonts w:ascii="仿宋" w:hAnsi="仿宋" w:eastAsia="仿宋" w:cs="仿宋"/>
          <w:b/>
          <w:bCs/>
          <w:color w:val="auto"/>
          <w:sz w:val="28"/>
          <w:szCs w:val="28"/>
          <w:highlight w:val="none"/>
        </w:rPr>
        <w:sectPr>
          <w:footerReference r:id="rId4"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adjustRightInd w:val="0"/>
        <w:snapToGrid w:val="0"/>
        <w:spacing w:before="0" w:after="0" w:line="360" w:lineRule="auto"/>
        <w:jc w:val="center"/>
        <w:rPr>
          <w:rFonts w:ascii="仿宋" w:hAnsi="仿宋" w:eastAsia="仿宋" w:cs="仿宋"/>
          <w:color w:val="auto"/>
          <w:sz w:val="28"/>
          <w:szCs w:val="28"/>
          <w:highlight w:val="none"/>
        </w:rPr>
      </w:pPr>
      <w:bookmarkStart w:id="3" w:name="_Toc12107_WPSOffice_Level1"/>
      <w:bookmarkStart w:id="4" w:name="_Toc12527"/>
      <w:bookmarkStart w:id="5" w:name="_Toc17166"/>
      <w:r>
        <w:rPr>
          <w:rFonts w:hint="eastAsia" w:ascii="仿宋" w:hAnsi="仿宋" w:eastAsia="仿宋" w:cs="仿宋"/>
          <w:color w:val="auto"/>
          <w:sz w:val="28"/>
          <w:szCs w:val="28"/>
          <w:highlight w:val="none"/>
        </w:rPr>
        <w:t xml:space="preserve">第二章 </w:t>
      </w:r>
      <w:bookmarkEnd w:id="3"/>
      <w:r>
        <w:rPr>
          <w:rFonts w:hint="eastAsia" w:ascii="仿宋" w:hAnsi="仿宋" w:eastAsia="仿宋" w:cs="仿宋"/>
          <w:color w:val="auto"/>
          <w:sz w:val="28"/>
          <w:szCs w:val="28"/>
          <w:highlight w:val="none"/>
        </w:rPr>
        <w:t>投标人须知</w:t>
      </w:r>
      <w:bookmarkEnd w:id="4"/>
      <w:bookmarkEnd w:id="5"/>
    </w:p>
    <w:p>
      <w:pPr>
        <w:pStyle w:val="4"/>
        <w:ind w:firstLine="0" w:firstLineChars="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 投标人须知表</w:t>
      </w:r>
    </w:p>
    <w:tbl>
      <w:tblPr>
        <w:tblStyle w:val="18"/>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62"/>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条款号</w:t>
            </w:r>
          </w:p>
        </w:tc>
        <w:tc>
          <w:tcPr>
            <w:tcW w:w="156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   目</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1.1</w:t>
            </w:r>
          </w:p>
        </w:tc>
        <w:tc>
          <w:tcPr>
            <w:tcW w:w="156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招标人</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名  称：</w:t>
            </w:r>
            <w:r>
              <w:rPr>
                <w:rFonts w:hint="eastAsia" w:ascii="仿宋_GB2312" w:hAnsi="仿宋_GB2312" w:eastAsia="仿宋_GB2312" w:cs="仿宋_GB2312"/>
                <w:color w:val="auto"/>
                <w:kern w:val="0"/>
                <w:sz w:val="28"/>
                <w:szCs w:val="28"/>
                <w:highlight w:val="none"/>
                <w:u w:val="single"/>
              </w:rPr>
              <w:t xml:space="preserve"> </w:t>
            </w:r>
            <w:r>
              <w:rPr>
                <w:rFonts w:hint="eastAsia" w:ascii="仿宋" w:hAnsi="仿宋" w:eastAsia="仿宋" w:cs="仿宋"/>
                <w:color w:val="auto"/>
                <w:sz w:val="28"/>
                <w:szCs w:val="28"/>
                <w:highlight w:val="none"/>
                <w:u w:val="single"/>
              </w:rPr>
              <w:t>肇庆盈德企业管理有限公司</w:t>
            </w:r>
            <w:r>
              <w:rPr>
                <w:rFonts w:hint="eastAsia" w:ascii="仿宋_GB2312" w:hAnsi="仿宋_GB2312" w:eastAsia="仿宋_GB2312" w:cs="仿宋_GB2312"/>
                <w:color w:val="auto"/>
                <w:kern w:val="0"/>
                <w:sz w:val="28"/>
                <w:szCs w:val="28"/>
                <w:highlight w:val="none"/>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地  址：</w:t>
            </w:r>
            <w:r>
              <w:rPr>
                <w:rFonts w:hint="eastAsia" w:ascii="仿宋_GB2312" w:hAnsi="仿宋_GB2312" w:eastAsia="仿宋_GB2312" w:cs="仿宋_GB2312"/>
                <w:color w:val="auto"/>
                <w:kern w:val="0"/>
                <w:sz w:val="28"/>
                <w:szCs w:val="28"/>
                <w:highlight w:val="none"/>
                <w:u w:val="single"/>
              </w:rPr>
              <w:t xml:space="preserve"> </w:t>
            </w:r>
            <w:r>
              <w:rPr>
                <w:rFonts w:hint="eastAsia" w:ascii="仿宋" w:hAnsi="仿宋" w:eastAsia="仿宋" w:cs="仿宋"/>
                <w:color w:val="auto"/>
                <w:sz w:val="28"/>
                <w:szCs w:val="28"/>
                <w:highlight w:val="none"/>
                <w:u w:val="single"/>
              </w:rPr>
              <w:t>肇庆市端州区江滨西路3号航运大楼5楼</w:t>
            </w:r>
            <w:r>
              <w:rPr>
                <w:rFonts w:hint="eastAsia" w:ascii="仿宋_GB2312" w:hAnsi="仿宋_GB2312" w:eastAsia="仿宋_GB2312" w:cs="仿宋_GB2312"/>
                <w:color w:val="auto"/>
                <w:kern w:val="0"/>
                <w:sz w:val="28"/>
                <w:szCs w:val="28"/>
                <w:highlight w:val="none"/>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联系人：</w:t>
            </w:r>
            <w:r>
              <w:rPr>
                <w:rFonts w:hint="eastAsia" w:ascii="仿宋_GB2312" w:hAnsi="仿宋_GB2312" w:eastAsia="仿宋_GB2312" w:cs="仿宋_GB2312"/>
                <w:color w:val="auto"/>
                <w:kern w:val="0"/>
                <w:sz w:val="28"/>
                <w:szCs w:val="28"/>
                <w:highlight w:val="none"/>
                <w:u w:val="single"/>
              </w:rPr>
              <w:t xml:space="preserve"> </w:t>
            </w:r>
            <w:r>
              <w:rPr>
                <w:rFonts w:hint="eastAsia" w:ascii="仿宋" w:hAnsi="仿宋" w:eastAsia="仿宋" w:cs="仿宋"/>
                <w:i/>
                <w:iCs/>
                <w:color w:val="auto"/>
                <w:sz w:val="28"/>
                <w:szCs w:val="28"/>
                <w:highlight w:val="none"/>
                <w:u w:val="single"/>
              </w:rPr>
              <w:t>黄先生、朱先生</w:t>
            </w:r>
            <w:r>
              <w:rPr>
                <w:rFonts w:hint="eastAsia" w:ascii="仿宋_GB2312" w:hAnsi="仿宋_GB2312" w:eastAsia="仿宋_GB2312" w:cs="仿宋_GB2312"/>
                <w:color w:val="auto"/>
                <w:kern w:val="0"/>
                <w:sz w:val="28"/>
                <w:szCs w:val="28"/>
                <w:highlight w:val="none"/>
                <w:u w:val="single"/>
              </w:rPr>
              <w:t xml:space="preserve">  </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电  话：</w:t>
            </w:r>
            <w:r>
              <w:rPr>
                <w:rFonts w:hint="eastAsia" w:ascii="仿宋_GB2312" w:hAnsi="仿宋_GB2312" w:eastAsia="仿宋_GB2312" w:cs="仿宋_GB2312"/>
                <w:color w:val="auto"/>
                <w:kern w:val="0"/>
                <w:sz w:val="28"/>
                <w:szCs w:val="28"/>
                <w:highlight w:val="none"/>
                <w:u w:val="single"/>
              </w:rPr>
              <w:t xml:space="preserve"> </w:t>
            </w:r>
            <w:r>
              <w:rPr>
                <w:rFonts w:hint="eastAsia" w:ascii="仿宋" w:hAnsi="仿宋" w:eastAsia="仿宋" w:cs="仿宋"/>
                <w:color w:val="auto"/>
                <w:sz w:val="28"/>
                <w:szCs w:val="28"/>
                <w:highlight w:val="none"/>
                <w:u w:val="single"/>
              </w:rPr>
              <w:t>0758-2244202（办公）、13432400785（黄）、13536970972（朱）</w:t>
            </w:r>
            <w:r>
              <w:rPr>
                <w:rFonts w:hint="eastAsia" w:ascii="仿宋_GB2312" w:hAnsi="仿宋_GB2312" w:eastAsia="仿宋_GB2312" w:cs="仿宋_GB2312"/>
                <w:color w:val="auto"/>
                <w:kern w:val="0"/>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1.2.3</w:t>
            </w:r>
          </w:p>
        </w:tc>
        <w:tc>
          <w:tcPr>
            <w:tcW w:w="156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投标人还要满足的其它资格条件</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详见第一章 招标公告 第4点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1.3</w:t>
            </w:r>
          </w:p>
        </w:tc>
        <w:tc>
          <w:tcPr>
            <w:tcW w:w="1562" w:type="dxa"/>
            <w:tcBorders>
              <w:tl2br w:val="nil"/>
              <w:tr2bl w:val="nil"/>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color w:val="auto"/>
                <w:kern w:val="0"/>
                <w:sz w:val="28"/>
                <w:szCs w:val="28"/>
                <w:highlight w:val="none"/>
              </w:rPr>
            </w:pPr>
            <w:r>
              <w:rPr>
                <w:rFonts w:hint="eastAsia" w:ascii="仿宋_GB2312" w:hAnsi="仿宋_GB2312" w:eastAsia="仿宋_GB2312" w:cs="仿宋_GB2312"/>
                <w:bCs/>
                <w:color w:val="auto"/>
                <w:kern w:val="0"/>
                <w:sz w:val="28"/>
                <w:szCs w:val="28"/>
                <w:highlight w:val="none"/>
              </w:rPr>
              <w:t>是否允许联合体参加招标活动</w:t>
            </w:r>
          </w:p>
        </w:tc>
        <w:tc>
          <w:tcPr>
            <w:tcW w:w="6173" w:type="dxa"/>
            <w:tcBorders>
              <w:tl2br w:val="nil"/>
              <w:tr2bl w:val="nil"/>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sym w:font="Wingdings 2" w:char="0052"/>
            </w:r>
            <w:r>
              <w:rPr>
                <w:rFonts w:hint="eastAsia" w:ascii="仿宋_GB2312" w:hAnsi="仿宋_GB2312" w:eastAsia="仿宋_GB2312" w:cs="仿宋_GB2312"/>
                <w:color w:val="auto"/>
                <w:kern w:val="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1.3.6</w:t>
            </w:r>
          </w:p>
        </w:tc>
        <w:tc>
          <w:tcPr>
            <w:tcW w:w="1562" w:type="dxa"/>
            <w:tcBorders>
              <w:tl2br w:val="nil"/>
              <w:tr2bl w:val="nil"/>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联合体的其他资格要求</w:t>
            </w:r>
          </w:p>
        </w:tc>
        <w:tc>
          <w:tcPr>
            <w:tcW w:w="6173" w:type="dxa"/>
            <w:tcBorders>
              <w:tl2br w:val="nil"/>
              <w:tr2bl w:val="nil"/>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2.2</w:t>
            </w:r>
          </w:p>
        </w:tc>
        <w:tc>
          <w:tcPr>
            <w:tcW w:w="1562" w:type="dxa"/>
            <w:tcBorders>
              <w:tl2br w:val="nil"/>
              <w:tr2bl w:val="nil"/>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bCs/>
                <w:color w:val="auto"/>
                <w:kern w:val="0"/>
                <w:sz w:val="28"/>
                <w:szCs w:val="28"/>
                <w:highlight w:val="none"/>
              </w:rPr>
            </w:pPr>
            <w:r>
              <w:rPr>
                <w:rFonts w:hint="eastAsia" w:ascii="仿宋_GB2312" w:hAnsi="仿宋_GB2312" w:eastAsia="仿宋_GB2312" w:cs="仿宋_GB2312"/>
                <w:color w:val="auto"/>
                <w:kern w:val="0"/>
                <w:sz w:val="28"/>
                <w:szCs w:val="28"/>
                <w:highlight w:val="none"/>
              </w:rPr>
              <w:t>最高限价</w:t>
            </w:r>
          </w:p>
        </w:tc>
        <w:tc>
          <w:tcPr>
            <w:tcW w:w="6173" w:type="dxa"/>
            <w:tcBorders>
              <w:tl2br w:val="nil"/>
              <w:tr2bl w:val="nil"/>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6.1</w:t>
            </w:r>
          </w:p>
        </w:tc>
        <w:tc>
          <w:tcPr>
            <w:tcW w:w="1562" w:type="dxa"/>
            <w:tcBorders>
              <w:tl2br w:val="nil"/>
              <w:tr2bl w:val="nil"/>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现场考察、答疑会</w:t>
            </w:r>
          </w:p>
        </w:tc>
        <w:tc>
          <w:tcPr>
            <w:tcW w:w="6173" w:type="dxa"/>
            <w:tcBorders>
              <w:tl2br w:val="nil"/>
              <w:tr2bl w:val="nil"/>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sym w:font="Wingdings 2" w:char="0052"/>
            </w:r>
            <w:r>
              <w:rPr>
                <w:rFonts w:hint="eastAsia" w:ascii="仿宋_GB2312" w:hAnsi="仿宋_GB2312" w:eastAsia="仿宋_GB2312" w:cs="仿宋_GB2312"/>
                <w:color w:val="auto"/>
                <w:kern w:val="0"/>
                <w:sz w:val="28"/>
                <w:szCs w:val="28"/>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7.1.1</w:t>
            </w:r>
          </w:p>
        </w:tc>
        <w:tc>
          <w:tcPr>
            <w:tcW w:w="1562" w:type="dxa"/>
            <w:tcBorders>
              <w:tl2br w:val="nil"/>
              <w:tr2bl w:val="nil"/>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分包</w:t>
            </w:r>
          </w:p>
        </w:tc>
        <w:tc>
          <w:tcPr>
            <w:tcW w:w="6173" w:type="dxa"/>
            <w:tcBorders>
              <w:tl2br w:val="nil"/>
              <w:tr2bl w:val="nil"/>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14.1</w:t>
            </w:r>
          </w:p>
        </w:tc>
        <w:tc>
          <w:tcPr>
            <w:tcW w:w="156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投标保证金</w:t>
            </w:r>
          </w:p>
        </w:tc>
        <w:tc>
          <w:tcPr>
            <w:tcW w:w="6173" w:type="dxa"/>
            <w:tcBorders>
              <w:tl2br w:val="nil"/>
              <w:tr2bl w:val="nil"/>
            </w:tcBorders>
            <w:vAlign w:val="center"/>
          </w:tcPr>
          <w:p>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是否要求投标人递交投标保证金</w:t>
            </w: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kern w:val="0"/>
                <w:sz w:val="28"/>
                <w:szCs w:val="28"/>
                <w:highlight w:val="none"/>
              </w:rPr>
              <w:sym w:font="Wingdings 2" w:char="0052"/>
            </w:r>
            <w:r>
              <w:rPr>
                <w:rFonts w:hint="eastAsia" w:ascii="仿宋_GB2312" w:hAnsi="仿宋_GB2312" w:eastAsia="仿宋_GB2312" w:cs="仿宋_GB2312"/>
                <w:color w:val="auto"/>
                <w:kern w:val="0"/>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16.1</w:t>
            </w:r>
          </w:p>
        </w:tc>
        <w:tc>
          <w:tcPr>
            <w:tcW w:w="156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投标有效期</w:t>
            </w:r>
          </w:p>
        </w:tc>
        <w:tc>
          <w:tcPr>
            <w:tcW w:w="6173" w:type="dxa"/>
            <w:tcBorders>
              <w:tl2br w:val="nil"/>
              <w:tr2bl w:val="nil"/>
            </w:tcBorders>
            <w:vAlign w:val="center"/>
          </w:tcPr>
          <w:p>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u w:val="single"/>
              </w:rPr>
              <w:t xml:space="preserve">  90  </w:t>
            </w:r>
            <w:r>
              <w:rPr>
                <w:rFonts w:hint="eastAsia" w:ascii="仿宋_GB2312" w:hAnsi="仿宋_GB2312" w:eastAsia="仿宋_GB2312" w:cs="仿宋_GB2312"/>
                <w:color w:val="auto"/>
                <w:kern w:val="0"/>
                <w:sz w:val="28"/>
                <w:szCs w:val="28"/>
                <w:highlight w:val="none"/>
              </w:rPr>
              <w:t>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17.1</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投标文件份数</w:t>
            </w:r>
          </w:p>
        </w:tc>
        <w:tc>
          <w:tcPr>
            <w:tcW w:w="6173" w:type="dxa"/>
            <w:tcBorders>
              <w:tl2br w:val="nil"/>
              <w:tr2bl w:val="nil"/>
            </w:tcBorders>
            <w:vAlign w:val="center"/>
          </w:tcPr>
          <w:p>
            <w:pPr>
              <w:pStyle w:val="23"/>
              <w:keepNext w:val="0"/>
              <w:keepLines w:val="0"/>
              <w:suppressLineNumbers w:val="0"/>
              <w:spacing w:before="0" w:beforeAutospacing="0" w:after="0" w:afterAutospacing="0"/>
              <w:ind w:left="0" w:right="0" w:firstLine="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本项目应当在线提交电子投标文件。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19.1</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递交投标文件截止时间、地点：</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详见招标公告，以招标公告规定时间、地点为准。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21.1</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投标文件开启会时间、地点：</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详见招标公告，以招标公告规定时间、地点为准。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21.4 </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rPr>
              <w:t>投标人不足3家</w:t>
            </w:r>
            <w:r>
              <w:rPr>
                <w:rFonts w:hint="eastAsia" w:ascii="仿宋_GB2312" w:hAnsi="仿宋_GB2312" w:eastAsia="仿宋_GB2312" w:cs="仿宋_GB2312"/>
                <w:color w:val="auto"/>
                <w:kern w:val="0"/>
                <w:sz w:val="28"/>
                <w:szCs w:val="28"/>
                <w:highlight w:val="none"/>
                <w:lang w:val="en-US" w:eastAsia="zh-CN"/>
              </w:rPr>
              <w:t>的情形</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若某一标段提交投标文件的投标人不足3家的则招标失败，招标人可以重新组织招标或</w:t>
            </w:r>
            <w:r>
              <w:rPr>
                <w:rFonts w:hint="eastAsia" w:ascii="仿宋_GB2312" w:hAnsi="仿宋_GB2312" w:eastAsia="仿宋_GB2312" w:cs="仿宋_GB2312"/>
                <w:color w:val="auto"/>
                <w:kern w:val="0"/>
                <w:sz w:val="28"/>
                <w:szCs w:val="28"/>
                <w:highlight w:val="none"/>
                <w:lang w:val="en-US" w:eastAsia="zh-CN"/>
              </w:rPr>
              <w:t>根据集团采购管理办法规定</w:t>
            </w:r>
            <w:r>
              <w:rPr>
                <w:rFonts w:hint="eastAsia" w:ascii="仿宋_GB2312" w:hAnsi="仿宋_GB2312" w:eastAsia="仿宋_GB2312" w:cs="仿宋_GB2312"/>
                <w:color w:val="auto"/>
                <w:kern w:val="0"/>
                <w:sz w:val="28"/>
                <w:szCs w:val="28"/>
                <w:highlight w:val="none"/>
              </w:rPr>
              <w:t>选择其他采购方式。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22.2</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评审小组组成</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评审小组由招标人代表</w:t>
            </w:r>
            <w:r>
              <w:rPr>
                <w:rFonts w:hint="eastAsia" w:ascii="仿宋_GB2312" w:hAnsi="仿宋_GB2312" w:eastAsia="仿宋_GB2312" w:cs="仿宋_GB2312"/>
                <w:color w:val="auto"/>
                <w:sz w:val="28"/>
                <w:szCs w:val="28"/>
                <w:highlight w:val="none"/>
                <w:u w:val="single"/>
              </w:rPr>
              <w:t xml:space="preserve"> 1  </w:t>
            </w:r>
            <w:r>
              <w:rPr>
                <w:rFonts w:hint="eastAsia" w:ascii="仿宋_GB2312" w:hAnsi="仿宋_GB2312" w:eastAsia="仿宋_GB2312" w:cs="仿宋_GB2312"/>
                <w:color w:val="auto"/>
                <w:sz w:val="28"/>
                <w:szCs w:val="28"/>
                <w:highlight w:val="none"/>
              </w:rPr>
              <w:t>人，评审专家</w:t>
            </w:r>
            <w:r>
              <w:rPr>
                <w:rFonts w:hint="eastAsia" w:ascii="仿宋_GB2312" w:hAnsi="仿宋_GB2312" w:eastAsia="仿宋_GB2312" w:cs="仿宋_GB2312"/>
                <w:color w:val="auto"/>
                <w:sz w:val="28"/>
                <w:szCs w:val="28"/>
                <w:highlight w:val="none"/>
                <w:u w:val="single"/>
              </w:rPr>
              <w:t xml:space="preserve"> 4   </w:t>
            </w:r>
            <w:r>
              <w:rPr>
                <w:rFonts w:hint="eastAsia" w:ascii="仿宋_GB2312" w:hAnsi="仿宋_GB2312" w:eastAsia="仿宋_GB2312" w:cs="仿宋_GB2312"/>
                <w:color w:val="auto"/>
                <w:sz w:val="28"/>
                <w:szCs w:val="28"/>
                <w:highlight w:val="none"/>
              </w:rPr>
              <w:t>人，共</w:t>
            </w:r>
            <w:r>
              <w:rPr>
                <w:rFonts w:hint="eastAsia" w:ascii="仿宋_GB2312" w:hAnsi="仿宋_GB2312" w:eastAsia="仿宋_GB2312" w:cs="仿宋_GB2312"/>
                <w:color w:val="auto"/>
                <w:sz w:val="28"/>
                <w:szCs w:val="28"/>
                <w:highlight w:val="none"/>
                <w:u w:val="single"/>
              </w:rPr>
              <w:t xml:space="preserve"> 5 </w:t>
            </w:r>
            <w:r>
              <w:rPr>
                <w:rFonts w:hint="eastAsia" w:ascii="仿宋_GB2312" w:hAnsi="仿宋_GB2312" w:eastAsia="仿宋_GB2312" w:cs="仿宋_GB2312"/>
                <w:color w:val="auto"/>
                <w:sz w:val="28"/>
                <w:szCs w:val="28"/>
                <w:highlight w:val="none"/>
              </w:rPr>
              <w:t>人组成。</w:t>
            </w:r>
          </w:p>
          <w:p>
            <w:pPr>
              <w:pStyle w:val="17"/>
              <w:keepNext w:val="0"/>
              <w:keepLines w:val="0"/>
              <w:suppressLineNumbers w:val="0"/>
              <w:spacing w:before="0" w:beforeAutospacing="0" w:after="0" w:afterAutospacing="0"/>
              <w:ind w:left="0" w:right="0" w:firstLine="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评审专家从肇庆市交通集团有限公司</w:t>
            </w:r>
            <w:r>
              <w:rPr>
                <w:rFonts w:hint="eastAsia" w:ascii="仿宋_GB2312" w:hAnsi="仿宋_GB2312" w:eastAsia="仿宋_GB2312" w:cs="仿宋_GB2312"/>
                <w:b/>
                <w:bCs/>
                <w:color w:val="auto"/>
                <w:sz w:val="28"/>
                <w:szCs w:val="28"/>
                <w:highlight w:val="none"/>
              </w:rPr>
              <w:t>综合类</w:t>
            </w:r>
            <w:r>
              <w:rPr>
                <w:rFonts w:hint="eastAsia" w:ascii="仿宋_GB2312" w:hAnsi="仿宋_GB2312" w:eastAsia="仿宋_GB2312" w:cs="仿宋_GB2312"/>
                <w:color w:val="auto"/>
                <w:sz w:val="28"/>
                <w:szCs w:val="28"/>
                <w:highlight w:val="none"/>
              </w:rPr>
              <w:t>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27.1</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评审方法</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sym w:font="Wingdings 2" w:char="0052"/>
            </w:r>
            <w:r>
              <w:rPr>
                <w:rFonts w:hint="eastAsia" w:ascii="仿宋_GB2312" w:hAnsi="仿宋_GB2312" w:eastAsia="仿宋_GB2312" w:cs="仿宋_GB2312"/>
                <w:color w:val="auto"/>
                <w:kern w:val="0"/>
                <w:sz w:val="28"/>
                <w:szCs w:val="28"/>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29.1</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推荐中标候选人的数量</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u w:val="single"/>
              </w:rPr>
              <w:t xml:space="preserve"> 3 </w:t>
            </w:r>
            <w:r>
              <w:rPr>
                <w:rFonts w:hint="eastAsia" w:ascii="仿宋_GB2312" w:hAnsi="仿宋_GB2312" w:eastAsia="仿宋_GB2312" w:cs="仿宋_GB2312"/>
                <w:color w:val="auto"/>
                <w:kern w:val="0"/>
                <w:sz w:val="28"/>
                <w:szCs w:val="28"/>
                <w:highlight w:val="none"/>
              </w:rPr>
              <w:t>家/标段。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31</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确定中标人的方式</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中标人数量：</w:t>
            </w:r>
            <w:r>
              <w:rPr>
                <w:rFonts w:hint="eastAsia" w:ascii="仿宋_GB2312" w:hAnsi="仿宋_GB2312" w:eastAsia="仿宋_GB2312" w:cs="仿宋_GB2312"/>
                <w:color w:val="auto"/>
                <w:kern w:val="0"/>
                <w:sz w:val="28"/>
                <w:szCs w:val="28"/>
                <w:highlight w:val="none"/>
                <w:u w:val="single"/>
              </w:rPr>
              <w:t xml:space="preserve"> 1家</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sym w:font="Wingdings 2" w:char="0052"/>
            </w:r>
            <w:r>
              <w:rPr>
                <w:rFonts w:hint="eastAsia" w:ascii="仿宋_GB2312" w:hAnsi="仿宋_GB2312" w:eastAsia="仿宋_GB2312" w:cs="仿宋_GB2312"/>
                <w:color w:val="auto"/>
                <w:kern w:val="0"/>
                <w:sz w:val="28"/>
                <w:szCs w:val="28"/>
                <w:highlight w:val="none"/>
              </w:rPr>
              <w:t>招标人确定中标人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35.1</w:t>
            </w:r>
          </w:p>
        </w:tc>
        <w:tc>
          <w:tcPr>
            <w:tcW w:w="1562" w:type="dxa"/>
            <w:tcBorders>
              <w:tl2br w:val="nil"/>
              <w:tr2bl w:val="nil"/>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履约保证金</w:t>
            </w:r>
          </w:p>
        </w:tc>
        <w:tc>
          <w:tcPr>
            <w:tcW w:w="6173" w:type="dxa"/>
            <w:tcBorders>
              <w:tl2br w:val="nil"/>
              <w:tr2bl w:val="nil"/>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本项目不收取履约保证金</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38.3</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质疑</w:t>
            </w:r>
          </w:p>
        </w:tc>
        <w:tc>
          <w:tcPr>
            <w:tcW w:w="6173"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一、投标人认为自己的权益受到损害的，可以在知道或者应知其权益受到损害之日起七个工作日内，向招标人提出质疑。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1.接收质疑函的方式：接收加盖单位公章的书面质疑函</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sz w:val="28"/>
                <w:szCs w:val="28"/>
                <w:highlight w:val="none"/>
              </w:rPr>
              <w:t>联系单位：</w:t>
            </w:r>
            <w:r>
              <w:rPr>
                <w:rFonts w:hint="eastAsia" w:ascii="仿宋" w:hAnsi="仿宋" w:eastAsia="仿宋" w:cs="仿宋"/>
                <w:color w:val="auto"/>
                <w:sz w:val="28"/>
                <w:szCs w:val="28"/>
                <w:highlight w:val="none"/>
                <w:u w:val="single"/>
              </w:rPr>
              <w:t>肇庆盈德企业管理有限公司</w:t>
            </w:r>
            <w:r>
              <w:rPr>
                <w:rFonts w:hint="eastAsia" w:ascii="仿宋_GB2312" w:hAnsi="仿宋_GB2312" w:eastAsia="仿宋_GB2312" w:cs="仿宋_GB2312"/>
                <w:color w:val="auto"/>
                <w:kern w:val="0"/>
                <w:sz w:val="28"/>
                <w:szCs w:val="28"/>
                <w:highlight w:val="none"/>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 系 人：</w:t>
            </w:r>
            <w:r>
              <w:rPr>
                <w:rFonts w:hint="eastAsia" w:ascii="仿宋" w:hAnsi="仿宋" w:eastAsia="仿宋" w:cs="仿宋"/>
                <w:i/>
                <w:iCs/>
                <w:color w:val="auto"/>
                <w:sz w:val="28"/>
                <w:szCs w:val="28"/>
                <w:highlight w:val="none"/>
                <w:u w:val="single"/>
              </w:rPr>
              <w:t>黄先生、朱先生</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hint="eastAsia" w:ascii="仿宋" w:hAnsi="仿宋" w:eastAsia="仿宋" w:cs="仿宋"/>
                <w:color w:val="auto"/>
                <w:sz w:val="28"/>
                <w:szCs w:val="28"/>
                <w:highlight w:val="none"/>
                <w:u w:val="single"/>
              </w:rPr>
              <w:t>0758-2244202（办公）、13432400785（黄）、13536970972（朱）</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通讯地址：</w:t>
            </w:r>
            <w:r>
              <w:rPr>
                <w:rFonts w:hint="eastAsia" w:ascii="仿宋" w:hAnsi="仿宋" w:eastAsia="仿宋" w:cs="仿宋"/>
                <w:color w:val="auto"/>
                <w:sz w:val="28"/>
                <w:szCs w:val="28"/>
                <w:highlight w:val="none"/>
                <w:u w:val="single"/>
              </w:rPr>
              <w:t>肇庆市端州区江滨西路3号航运大楼5楼</w:t>
            </w:r>
            <w:r>
              <w:rPr>
                <w:rFonts w:hint="eastAsia" w:ascii="仿宋_GB2312" w:hAnsi="仿宋_GB2312" w:eastAsia="仿宋_GB2312" w:cs="仿宋_GB2312"/>
                <w:color w:val="auto"/>
                <w:kern w:val="0"/>
                <w:sz w:val="28"/>
                <w:szCs w:val="28"/>
                <w:highlight w:val="none"/>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2.质疑函的内容、格式：质疑须以书面形式提出，列明质疑事项及相关依据，联系人、联系电话、传真、详细地址、邮编等基本信息并加盖公章。格式自拟。</w:t>
            </w:r>
          </w:p>
          <w:p>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二、投标人应在质疑期内一次性针对同一采购程序环节提出质疑，否则针对再次提出质疑将不予接收。（采购程序环节分为：招标公告、招标文件、招标过程、中标结果）</w:t>
            </w:r>
          </w:p>
          <w:p>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三、监督机构：肇庆市交通集团有限公司纪检监察室</w:t>
            </w:r>
          </w:p>
          <w:p>
            <w:pPr>
              <w:pStyle w:val="6"/>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监督电话：0758-2909855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39.4</w:t>
            </w:r>
          </w:p>
        </w:tc>
        <w:tc>
          <w:tcPr>
            <w:tcW w:w="15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z w:val="28"/>
                <w:szCs w:val="28"/>
                <w:highlight w:val="none"/>
              </w:rPr>
              <w:t>有效投标不足3家的</w:t>
            </w:r>
            <w:r>
              <w:rPr>
                <w:rFonts w:hint="eastAsia" w:ascii="仿宋_GB2312" w:hAnsi="仿宋_GB2312" w:eastAsia="仿宋_GB2312" w:cs="仿宋_GB2312"/>
                <w:color w:val="auto"/>
                <w:sz w:val="28"/>
                <w:szCs w:val="28"/>
                <w:highlight w:val="none"/>
                <w:lang w:val="en-US" w:eastAsia="zh-CN"/>
              </w:rPr>
              <w:t>情形</w:t>
            </w:r>
          </w:p>
        </w:tc>
        <w:tc>
          <w:tcPr>
            <w:tcW w:w="6173" w:type="dxa"/>
            <w:tcBorders>
              <w:tl2br w:val="nil"/>
              <w:tr2bl w:val="nil"/>
            </w:tcBorders>
            <w:vAlign w:val="center"/>
          </w:tcPr>
          <w:p>
            <w:pPr>
              <w:pStyle w:val="6"/>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评审过程中，如某一标段有效投标不足3家的，评标委员会对该标段投标是否明显缺乏竞争和是否需要否决全部投标进行充分论证，并在评标报告中记载论证过程和结果，明显缺乏竞争并否决全部投标的，则该标段招标失败，招标人可重新招标或根据集团采购管理办法规定采用其他采购方式。</w:t>
            </w: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注：表格中“</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”项或“■”项为被选中项。</w:t>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color w:val="auto"/>
          <w:sz w:val="28"/>
          <w:szCs w:val="28"/>
          <w:highlight w:val="none"/>
        </w:rPr>
        <w:t>二 总则</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1.招标人及投标人</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1.1</w:t>
      </w:r>
      <w:r>
        <w:rPr>
          <w:rFonts w:hint="eastAsia" w:ascii="仿宋_GB2312" w:hAnsi="仿宋_GB2312" w:eastAsia="仿宋_GB2312" w:cs="仿宋_GB2312"/>
          <w:color w:val="auto"/>
          <w:sz w:val="28"/>
          <w:szCs w:val="28"/>
          <w:highlight w:val="none"/>
        </w:rPr>
        <w:t>招标人：本项目招标人见投标人须知表1.1款。</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1.2</w:t>
      </w:r>
      <w:r>
        <w:rPr>
          <w:rFonts w:hint="eastAsia" w:ascii="仿宋_GB2312" w:hAnsi="仿宋_GB2312" w:eastAsia="仿宋_GB2312" w:cs="仿宋_GB2312"/>
          <w:color w:val="auto"/>
          <w:sz w:val="28"/>
          <w:szCs w:val="28"/>
          <w:highlight w:val="none"/>
        </w:rPr>
        <w:t>投标人：是指向招标人提供货物、工程或者服务的法人。</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1.2.1本项目的投标人须满足的资格要求：见招标公告</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1.2.2本项目的投标人不得存在的情形：见招标公告</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1.2.3对投标人的其他资格要求见投标人须知表1.2.3款。</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1.2.4以招标人认可的方式获得了本项目的招标文件。</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1.3</w:t>
      </w:r>
      <w:r>
        <w:rPr>
          <w:rFonts w:hint="eastAsia" w:ascii="仿宋_GB2312" w:hAnsi="仿宋_GB2312" w:eastAsia="仿宋_GB2312" w:cs="仿宋_GB2312"/>
          <w:color w:val="auto"/>
          <w:sz w:val="28"/>
          <w:szCs w:val="28"/>
          <w:highlight w:val="none"/>
        </w:rPr>
        <w:t>如投标人须知表1.3款中允许联合体参加招标活动的，对联合体规定如下：</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1.3.1两个以上投标人可以组成一个联合体，以一个投标人的身份参加招标活动。</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1.3.2联合体各方均应符合本总则1.2.1款和1.2.2款规定的条件。</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1.3.3联合体各方应签订共同参加招标活动协议，明确约定联合体各方承担的工作和相应的责任。</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1.3.4联合体中有同类资质的投标人按照联合体分工承担相同工作的，按照较低的资质等级确定联合体的资质等级。</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1.3.5以联合体形式参加招标活动的，联合体各方不得再单独参加或者与其他投标人另外组成联合体参加本项目招标活动，否则投标文件将被认定为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（1）两个以上的法人或者其他组织可以组成一个联合体，以一个投标人的身份共同参加招标活动。</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（2）联合体中标的，联合体各方应共同与招标人签订合同，就合同约定的事项对招标人承担连带责任。</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1.3.6对联合体参加招标活动的其他资格要求见投标人须知表1.3.6款。</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1.4</w:t>
      </w:r>
      <w:r>
        <w:rPr>
          <w:rFonts w:hint="eastAsia" w:ascii="仿宋_GB2312" w:hAnsi="仿宋_GB2312" w:eastAsia="仿宋_GB2312" w:cs="仿宋_GB2312"/>
          <w:color w:val="auto"/>
          <w:sz w:val="28"/>
          <w:szCs w:val="28"/>
          <w:highlight w:val="none"/>
        </w:rPr>
        <w:t>投标人在招标过程中不得向招标人提供、给予任何有价值的物品，影响其正常决策行为。</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2.资金来源</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2.1本项目的招标人已获得足以支付本次招标活动后所签订的合同项下的资金。</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2.2项目标段最高限价见投标人须知表2.2款。</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2.3投标人报价超过招标文件规定的该标段最高限价的，其投标文件将被认定为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adjustRightInd w:val="0"/>
        <w:snapToGrid w:val="0"/>
        <w:spacing w:line="360" w:lineRule="auto"/>
        <w:rPr>
          <w:rFonts w:ascii="仿宋_GB2312" w:hAnsi="仿宋_GB2312" w:eastAsia="仿宋_GB2312" w:cs="仿宋_GB2312"/>
          <w:b/>
          <w:bCs/>
          <w:color w:val="auto"/>
          <w:sz w:val="28"/>
          <w:szCs w:val="28"/>
          <w:highlight w:val="none"/>
        </w:rPr>
      </w:pPr>
      <w:bookmarkStart w:id="6" w:name="_Toc266951048"/>
      <w:r>
        <w:rPr>
          <w:rFonts w:hint="eastAsia" w:ascii="仿宋_GB2312" w:hAnsi="仿宋_GB2312" w:eastAsia="仿宋_GB2312" w:cs="仿宋_GB2312"/>
          <w:b/>
          <w:bCs/>
          <w:color w:val="auto"/>
          <w:sz w:val="28"/>
          <w:szCs w:val="28"/>
          <w:highlight w:val="none"/>
        </w:rPr>
        <w:t>3.语言文字</w:t>
      </w:r>
      <w:bookmarkEnd w:id="6"/>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color w:val="auto"/>
          <w:sz w:val="28"/>
          <w:szCs w:val="28"/>
          <w:highlight w:val="none"/>
        </w:rPr>
      </w:pPr>
      <w:bookmarkStart w:id="7" w:name="_1.8_计量单位"/>
      <w:bookmarkEnd w:id="7"/>
      <w:bookmarkStart w:id="8" w:name="_Toc266951049"/>
      <w:r>
        <w:rPr>
          <w:rFonts w:hint="eastAsia" w:ascii="仿宋_GB2312" w:hAnsi="仿宋_GB2312" w:eastAsia="仿宋_GB2312" w:cs="仿宋_GB2312"/>
          <w:b/>
          <w:bCs/>
          <w:color w:val="auto"/>
          <w:sz w:val="28"/>
          <w:szCs w:val="28"/>
          <w:highlight w:val="none"/>
        </w:rPr>
        <w:t>4.计量单位</w:t>
      </w:r>
      <w:bookmarkEnd w:id="8"/>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投标文件中所使用的计量单位，应采用中华人民共和国法定计量单位。</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5.投标费用</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不论投标的结果如何，投标人应承担所有与本次招标活动有关的费用。</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6.现场考察、标前答疑会</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_GB2312" w:hAnsi="仿宋_GB2312" w:eastAsia="仿宋_GB2312" w:cs="仿宋_GB2312"/>
          <w:color w:val="auto"/>
          <w:sz w:val="28"/>
          <w:szCs w:val="28"/>
          <w:highlight w:val="none"/>
        </w:rPr>
        <w:t>投标人须知表</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6.1款规定组织现场考察或答疑会的，招标人按规定的时间、地点组织投标人现场考察或答疑会，或者在招标文件规定的时间内以书面形式通知所有获取招标文件的潜在投标人。</w:t>
      </w:r>
    </w:p>
    <w:p>
      <w:pPr>
        <w:adjustRightInd w:val="0"/>
        <w:snapToGrid w:val="0"/>
        <w:spacing w:line="360" w:lineRule="auto"/>
        <w:rPr>
          <w:rFonts w:ascii="仿宋_GB2312" w:hAnsi="仿宋_GB2312" w:eastAsia="仿宋_GB2312" w:cs="仿宋_GB2312"/>
          <w:b/>
          <w:bCs/>
          <w:color w:val="auto"/>
          <w:sz w:val="28"/>
          <w:szCs w:val="28"/>
          <w:highlight w:val="none"/>
        </w:rPr>
      </w:pPr>
      <w:bookmarkStart w:id="9" w:name="_1.10_投标预备会"/>
      <w:bookmarkEnd w:id="9"/>
      <w:r>
        <w:rPr>
          <w:rFonts w:hint="eastAsia" w:ascii="仿宋_GB2312" w:hAnsi="仿宋_GB2312" w:eastAsia="仿宋_GB2312" w:cs="仿宋_GB2312"/>
          <w:color w:val="auto"/>
          <w:sz w:val="28"/>
          <w:szCs w:val="28"/>
          <w:highlight w:val="none"/>
        </w:rPr>
        <w:t>6.2</w:t>
      </w:r>
      <w:r>
        <w:rPr>
          <w:rFonts w:hint="eastAsia" w:ascii="仿宋_GB2312" w:hAnsi="仿宋_GB2312" w:eastAsia="仿宋_GB2312" w:cs="仿宋_GB2312"/>
          <w:color w:val="auto"/>
          <w:kern w:val="0"/>
          <w:sz w:val="28"/>
          <w:szCs w:val="28"/>
          <w:highlight w:val="none"/>
        </w:rPr>
        <w:t>由于未参加现场考察或答疑会而导致对项目实际情况不了解，影响技术文件编制、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仿宋_GB2312" w:hAnsi="仿宋_GB2312" w:eastAsia="仿宋_GB2312" w:cs="仿宋_GB2312"/>
          <w:color w:val="auto"/>
          <w:kern w:val="0"/>
          <w:sz w:val="28"/>
          <w:szCs w:val="28"/>
          <w:highlight w:val="none"/>
        </w:rPr>
        <w:t>投标报价</w:t>
      </w:r>
      <w:r>
        <w:rPr>
          <w:rFonts w:hint="eastAsia" w:ascii="仿宋_GB2312" w:hAnsi="仿宋_GB2312" w:eastAsia="仿宋_GB2312" w:cs="仿宋_GB2312"/>
          <w:color w:val="auto"/>
          <w:kern w:val="0"/>
          <w:sz w:val="28"/>
          <w:szCs w:val="28"/>
          <w:highlight w:val="none"/>
        </w:rPr>
        <w:fldChar w:fldCharType="end"/>
      </w:r>
      <w:r>
        <w:rPr>
          <w:rFonts w:hint="eastAsia" w:ascii="仿宋_GB2312" w:hAnsi="仿宋_GB2312" w:eastAsia="仿宋_GB2312" w:cs="仿宋_GB2312"/>
          <w:color w:val="auto"/>
          <w:kern w:val="0"/>
          <w:sz w:val="28"/>
          <w:szCs w:val="28"/>
          <w:highlight w:val="none"/>
        </w:rPr>
        <w:t>准确性、综合因素响应不全面等问题的，由投标人自行承担相应后果。</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6.3现场考察及参加答疑会所发生的费用及一切责任由投标人自行承担。</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7.分包</w:t>
      </w:r>
    </w:p>
    <w:p>
      <w:pPr>
        <w:pStyle w:val="23"/>
        <w:ind w:firstLine="0"/>
        <w:rPr>
          <w:rFonts w:ascii="仿宋_GB2312" w:hAnsi="仿宋_GB2312" w:eastAsia="仿宋_GB2312" w:cs="仿宋_GB2312"/>
          <w:color w:val="auto"/>
          <w:spacing w:val="0"/>
          <w:kern w:val="2"/>
          <w:sz w:val="28"/>
          <w:szCs w:val="28"/>
          <w:highlight w:val="none"/>
        </w:rPr>
      </w:pPr>
      <w:r>
        <w:rPr>
          <w:rFonts w:hint="eastAsia" w:ascii="仿宋_GB2312" w:hAnsi="仿宋_GB2312" w:eastAsia="仿宋_GB2312" w:cs="仿宋_GB2312"/>
          <w:color w:val="auto"/>
          <w:spacing w:val="0"/>
          <w:kern w:val="2"/>
          <w:sz w:val="28"/>
          <w:szCs w:val="28"/>
          <w:highlight w:val="none"/>
        </w:rPr>
        <w:t>7.1投标人在中标后将所取得项目的部分非主体、非关键性工作进行分包的，应符合以下规定：</w:t>
      </w:r>
    </w:p>
    <w:p>
      <w:pPr>
        <w:pStyle w:val="24"/>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7.1.1 分包内容要求：招标人允许分包的专项工作（如有）应在投标人须知前附表中载明。</w:t>
      </w:r>
    </w:p>
    <w:p>
      <w:pPr>
        <w:pStyle w:val="24"/>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7.1.2 接受分包的第三人资格要求：分包人的资格能力应与其分包工作的标准和规模相适应，且具备投标人须知前附表中规定的资格条件。</w:t>
      </w:r>
    </w:p>
    <w:p>
      <w:pPr>
        <w:pStyle w:val="24"/>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7.1.3 投标人如有分包计划，应按第六章“投标文件格式”的要求填写“拟分包项目情况表”。</w:t>
      </w:r>
    </w:p>
    <w:p>
      <w:pPr>
        <w:pStyle w:val="24"/>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7.2 中标人不得向他人转让中标项目，接受分包的人不得再次分包。投标人就分包项目向招标人负责，接受分包的人就分包项目承担连带责任。</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8.适用规定</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本项目的招标人、投标人、评审小组的相关行为均受肇庆市交通集团有限公司关于采购有关规章制度的约束，其权利受到上述规章制度的保护。</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 招标文件</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9.招标文件构成</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9.1招标文件共五章，内容如下:</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第一章 招标公告</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第二章 投标人须知</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第三章 招标人需求</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第四章 评审方法</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第五章 合同条款及格式</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第六章 投标文件内容及格式</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9.2投标人应认真阅读招标文件所有的事项、格式、条款等。如投标人没有按照招标文件要求提交资料，或者投标文件没有对招标文件做出实质性响应，可能导致其投标文件被认定为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9.3投标人获取招标文件后,投标人对招标文件提出疑问的，或要求招标人对招标文件进行澄清的，应当在投标文件递交截止之日3日前通过电子采购平台提出。在上述规定的时间之后对招标文件提出的疑问，招标人有权不予受理。</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10.招标文件的澄清与修改</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10.1 招标人可以对已发出的招标文件进行必要的澄清或者修改。澄清或者修改的内容可能影响投标文件编制的，应当在提交投标文件截止之日</w:t>
      </w: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color w:val="auto"/>
          <w:sz w:val="28"/>
          <w:szCs w:val="28"/>
          <w:highlight w:val="none"/>
        </w:rPr>
        <w:t>日前，在电子采购平台发出澄清或修改文件，请已获取招标文件的投标人予以注意；不足2日的，应当顺延提交投标文件的截止时间。</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10.2澄清或者修改的内容为招标文件的组成部分，对所有招标文件的收受人具有约束力。投标人应通过电子采购平台自行下载澄清文件，无需向招标人回函确认。投标人应注意及时浏览电子采购平台发出的澄清，因投标人自身原因未及时获知澄清内容而导致的任何后果将由投标人自行承担。</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 投标文件的编制</w:t>
      </w:r>
    </w:p>
    <w:p>
      <w:pPr>
        <w:pStyle w:val="6"/>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11.投标范围</w:t>
      </w:r>
    </w:p>
    <w:p>
      <w:pPr>
        <w:pStyle w:val="6"/>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11.1项目有分标段的，投标人可对招标文件其中某一个标段或几个标段进行响应。具体要求详见招标公告。</w:t>
      </w:r>
    </w:p>
    <w:p>
      <w:pPr>
        <w:pStyle w:val="6"/>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11.2投标人应当对所响应标段招标文件中第三章“招标人需求”所列的所有内容进行响应，如仅响应标段中某一部分内容，其该标段投标文件将被认定为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11.3无论招标文件第三章“招标人需求”中是否要求，投标人所响应的货物、服务、工程均应符合国家强制性标准。</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12.投标文件构成</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12.1投标人应完整地按招标文件提供的投标文件格式及要求编写投标文件。如有必要，可以增加附页，作为投标文件的组成部分。因投标文件内容不完整所造成的损失由投标人承担。具体内容及格式见第六章“投标文件内容及格式”。投标人在评审过程中作出的符合法律法规和招标文件规定的澄清确认，构成投标文件的组成部分。</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12.2投标人应按招标文件提供的格式编写投标文件，并对其提交的投标文件的真实性、合法性承担法律责任。招标文件提供标准格式的按标准格式填列，未提供标准格式的可自行拟定。</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13.投标报价</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13.1所有响应均按人民币货币进行报价。</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13.2 投标价格</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13.2.1货物的投标价格应为该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13.2.2服务的投标价格应为实施和完成该服务的劳务费、技术服务费、仪器设备的使用和管理、保险、成本、利润、税金和按本工程实际需要的加班等一切费用，以及合同明示或暗示的所有责任、义务和一般风险。</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13.2.3工程的投标价格应为实施和完成合同工程所需的劳务、材料、机械、质检(自检)、安装、缺陷修复、管理、保险（含建筑工程一切险及第三者责任险）、税费、利润等费用，以及合同明示或暗示的所有责任、义务和一般风险。</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13.3投标人应按招标文件要求在相关表格中标明货物、服务、工程及伴随服务的单价和总价，并由法定代表人（其他组织的负责人）或其委托代理人签署。</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13.4投标人所报的各分项单价在合同履行过程中是</w:t>
      </w:r>
      <w:r>
        <w:rPr>
          <w:rFonts w:hint="eastAsia" w:ascii="仿宋_GB2312" w:hAnsi="仿宋_GB2312" w:eastAsia="仿宋_GB2312" w:cs="仿宋_GB2312"/>
          <w:b/>
          <w:bCs/>
          <w:color w:val="auto"/>
          <w:sz w:val="28"/>
          <w:szCs w:val="28"/>
          <w:highlight w:val="none"/>
        </w:rPr>
        <w:t>固定不变的</w:t>
      </w:r>
      <w:r>
        <w:rPr>
          <w:rFonts w:hint="eastAsia" w:ascii="仿宋_GB2312" w:hAnsi="仿宋_GB2312" w:eastAsia="仿宋_GB2312" w:cs="仿宋_GB2312"/>
          <w:color w:val="auto"/>
          <w:sz w:val="28"/>
          <w:szCs w:val="28"/>
          <w:highlight w:val="none"/>
        </w:rPr>
        <w:t>，不得以任何理由予以变更。</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13.5每个单项（分项）货物、服务、工程只能有一个投标报价。招标人不接受具有附加条件的报价。</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13.6除非招标文件另有规定，投标报价原则上精确到</w:t>
      </w:r>
      <w:r>
        <w:rPr>
          <w:rFonts w:hint="eastAsia" w:ascii="仿宋_GB2312" w:hAnsi="仿宋_GB2312" w:eastAsia="仿宋_GB2312" w:cs="仿宋_GB2312"/>
          <w:b/>
          <w:bCs/>
          <w:color w:val="auto"/>
          <w:sz w:val="28"/>
          <w:szCs w:val="28"/>
          <w:highlight w:val="none"/>
        </w:rPr>
        <w:t>小数点后两位</w:t>
      </w:r>
      <w:r>
        <w:rPr>
          <w:rFonts w:hint="eastAsia" w:ascii="仿宋_GB2312" w:hAnsi="仿宋_GB2312" w:eastAsia="仿宋_GB2312" w:cs="仿宋_GB2312"/>
          <w:color w:val="auto"/>
          <w:sz w:val="28"/>
          <w:szCs w:val="28"/>
          <w:highlight w:val="none"/>
        </w:rPr>
        <w:t>。</w:t>
      </w:r>
    </w:p>
    <w:p>
      <w:pPr>
        <w:adjustRightInd w:val="0"/>
        <w:snapToGrid w:val="0"/>
        <w:spacing w:line="360" w:lineRule="auto"/>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14.投标保证金</w:t>
      </w:r>
    </w:p>
    <w:p>
      <w:pPr>
        <w:adjustRightInd w:val="0"/>
        <w:snapToGrid w:val="0"/>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14.1投标人应提交投标人须知表14.1款中规定的投标保证金，并作为其投标文件的一部分。</w:t>
      </w:r>
    </w:p>
    <w:p>
      <w:pPr>
        <w:adjustRightInd w:val="0"/>
        <w:snapToGrid w:val="0"/>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14.2</w:t>
      </w:r>
      <w:r>
        <w:rPr>
          <w:rFonts w:hint="eastAsia" w:ascii="仿宋_GB2312" w:hAnsi="仿宋_GB2312" w:eastAsia="仿宋_GB2312" w:cs="仿宋_GB2312"/>
          <w:b/>
          <w:bCs/>
          <w:color w:val="auto"/>
          <w:sz w:val="28"/>
          <w:szCs w:val="28"/>
          <w:highlight w:val="none"/>
        </w:rPr>
        <w:t>投标人存在下列情形的，投标保证金不予退还:</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（1）投标人在递交投标文件截止时间后撤回投标文件的；</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（2）投标人在投标文件中提供虚假材料的；</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（3）中标后除因不可抗力或者招标文件认可的情形以外，不按本须知第33条的规定与招标人签订合同的；</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（4）中标后不按本须知第34条的规定提交履约保证金的;</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（5）串通投标的；</w:t>
      </w:r>
    </w:p>
    <w:p>
      <w:pPr>
        <w:pStyle w:val="23"/>
        <w:rPr>
          <w:rFonts w:ascii="仿宋_GB2312" w:hAnsi="仿宋_GB2312" w:eastAsia="仿宋_GB2312" w:cs="仿宋_GB2312"/>
          <w:color w:val="auto"/>
          <w:spacing w:val="0"/>
          <w:kern w:val="2"/>
          <w:sz w:val="28"/>
          <w:szCs w:val="28"/>
          <w:highlight w:val="none"/>
        </w:rPr>
      </w:pPr>
      <w:r>
        <w:rPr>
          <w:rFonts w:hint="eastAsia" w:ascii="仿宋_GB2312" w:hAnsi="仿宋_GB2312" w:eastAsia="仿宋_GB2312" w:cs="仿宋_GB2312"/>
          <w:color w:val="auto"/>
          <w:spacing w:val="0"/>
          <w:kern w:val="2"/>
          <w:sz w:val="28"/>
          <w:szCs w:val="28"/>
          <w:highlight w:val="none"/>
        </w:rPr>
        <w:t>（6）因作假而被取消中标资格的；</w:t>
      </w:r>
    </w:p>
    <w:p>
      <w:pPr>
        <w:pStyle w:val="23"/>
        <w:rPr>
          <w:rFonts w:ascii="仿宋_GB2312" w:hAnsi="仿宋_GB2312" w:eastAsia="仿宋_GB2312" w:cs="仿宋_GB2312"/>
          <w:color w:val="auto"/>
          <w:spacing w:val="0"/>
          <w:kern w:val="2"/>
          <w:sz w:val="28"/>
          <w:szCs w:val="28"/>
          <w:highlight w:val="none"/>
        </w:rPr>
      </w:pPr>
      <w:r>
        <w:rPr>
          <w:rFonts w:hint="eastAsia" w:ascii="仿宋_GB2312" w:hAnsi="仿宋_GB2312" w:eastAsia="仿宋_GB2312" w:cs="仿宋_GB2312"/>
          <w:color w:val="auto"/>
          <w:spacing w:val="0"/>
          <w:kern w:val="2"/>
          <w:sz w:val="28"/>
          <w:szCs w:val="28"/>
          <w:highlight w:val="none"/>
        </w:rPr>
        <w:t>（7）因投诉属实被取消中标资格的；</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（8）招标文件规定的其他保证金不予退还情形或存在其他违法违规行为的。</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14.4联合体参加招标活动的，可以由联合体中的一方或者共同提交投标保证金。以一方名义提交投标保证金的，对联合体各方均具有约束力。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14.5投标保证金的退还</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14.5.1中标人应在与招标人签订了合同且递交了履约保证金（或履约保函）之日起5个工作日内无息退还，中标人应及时办理投标保证金退还手续。</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14.5.2未中标人的投标保证金将在中标通知书发出之日起5个工作日内无息退还。投标人应及时联系保证金收受机构办理退还投标保证金手续。</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14.5.3投标人在提交投标文件截止时间前撤回已提交的投标文件的，投标人应自招标人收到投标人书面撤回通知之日起10个工作日内，及时办理投标保证金退还手续。</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14.5.4 采用保函的退回必须由提供该保函的投标人出具的收据。</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14.6 因投标人自身原因导致无法及时退还的，招标人将不承担相应责任。</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15.证明标的的合格性和符合招标文件规定的技术文件</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15.2上款所述的证明文件，可以是文字资料、图纸和数据，它包括：</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（1）主要技术指标和性能的详细说明；</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（2）从招标人开始使用至合同约定的保质期内正常、连续地使用所必须的备件和专用工具清单，包括备件和专用工具的货源及现行价格（如有）;</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（3）对照招标文件技术规格，逐条说明所提供货物、工程和服务及伴随的附加部分已对招标文件的技术规格做出了实质性的响应，或申明与技术规格条文的偏差和例外。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16.投标有效期</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16.1投标文件应在投标人须知表16.1款中规定的投标有效期内保持有效。投标有效期不满足要求的响应，其投标文件将被认定为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16.2在特殊情况下，招标人可根据实际情况，在原投标有效期截止之前，要求投标人延长投标有效期。接受该要求的投标人将不会被要求和允许修正其投标文件，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17.投标文件的签署及规定</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17.1投标人应按投标人须知表17.1款中的规定，准备和递交纸质投标文件正本、副本和电子投标文件。</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17.2每份纸质投标文件封皮须清楚地标明“正本”或“副本”。若正本和副本不符，以正本为准。正本一份，副本份数见投标人须知前附表。</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17.3投标文件的制作应满足以下规定：</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17.3.1 投标文件由投标人使用电子采购平台自带的投标文件/投标文件制作工具制作生成。</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17.3.2 投标人在编制投标文件时应建立分组目录，并按照标签提示导入相关内容。</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17.3.3 投标文件中的报价一览表等数据文件应与招标文件提供的报价一览表等数据文件格式一致。</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17.4因投标人自身原因而导致投标文件无法导入电子采购平台电子开标、评标系统，该投标文件视为无效，投标人自行承担由此导致的全部责任和损失。</w:t>
      </w:r>
    </w:p>
    <w:p>
      <w:pPr>
        <w:pStyle w:val="23"/>
        <w:ind w:firstLine="0"/>
        <w:rPr>
          <w:color w:val="auto"/>
          <w:sz w:val="28"/>
          <w:szCs w:val="28"/>
          <w:highlight w:val="none"/>
        </w:rPr>
      </w:pPr>
      <w:r>
        <w:rPr>
          <w:rFonts w:hint="eastAsia" w:ascii="仿宋_GB2312" w:hAnsi="仿宋_GB2312" w:eastAsia="仿宋_GB2312" w:cs="仿宋_GB2312"/>
          <w:color w:val="auto"/>
          <w:spacing w:val="0"/>
          <w:kern w:val="2"/>
          <w:sz w:val="28"/>
          <w:szCs w:val="28"/>
          <w:highlight w:val="none"/>
        </w:rPr>
        <w:t>17.5 以联合体形式参与投标的，投标文件由联合体牵头人的法定代表人或其授权委托代理人按上述规定签署并加盖联合牵头人单位章。法定代表人授权委托书或法定代表人身份证明须由联合体牵头人按招标文件要求出具。</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 投标文件的递交</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18.投标文件的密封和标记</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18.1投标人应将纸质投标文件密封，将正本和所有的副本密封，并进行包封。</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18.2所有包装封皮上均应：</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（1）注明项目名称、包号、投标人名称。</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（2）加盖投标人单位公章。</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18.3如果投标人未按上述要求密封，其纸质投标文件将被</w:t>
      </w:r>
      <w:r>
        <w:rPr>
          <w:rFonts w:hint="eastAsia" w:ascii="仿宋_GB2312" w:hAnsi="仿宋_GB2312" w:eastAsia="仿宋_GB2312" w:cs="仿宋_GB2312"/>
          <w:b/>
          <w:bCs/>
          <w:color w:val="auto"/>
          <w:sz w:val="28"/>
          <w:szCs w:val="28"/>
          <w:highlight w:val="none"/>
        </w:rPr>
        <w:t>拒绝接收</w:t>
      </w:r>
      <w:r>
        <w:rPr>
          <w:rFonts w:hint="eastAsia" w:ascii="仿宋_GB2312" w:hAnsi="仿宋_GB2312" w:eastAsia="仿宋_GB2312" w:cs="仿宋_GB2312"/>
          <w:color w:val="auto"/>
          <w:sz w:val="28"/>
          <w:szCs w:val="28"/>
          <w:highlight w:val="none"/>
        </w:rPr>
        <w:t>。</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19.递交投标文件的递交</w:t>
      </w:r>
    </w:p>
    <w:p>
      <w:pPr>
        <w:adjustRightInd w:val="0"/>
        <w:snapToGrid w:val="0"/>
        <w:spacing w:line="360" w:lineRule="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19.1投标人应在“招标公告”规定的递交投标文件截止时间前，通过电子采购平台将加密的投标文件上传，并保存上传成功后系统自动生存的电子签收凭证，递交时间即为电子签收凭证时间。</w:t>
      </w:r>
      <w:r>
        <w:rPr>
          <w:rFonts w:hint="eastAsia" w:ascii="仿宋_GB2312" w:hAnsi="仿宋_GB2312" w:eastAsia="仿宋_GB2312" w:cs="仿宋_GB2312"/>
          <w:color w:val="auto"/>
          <w:sz w:val="28"/>
          <w:szCs w:val="28"/>
          <w:highlight w:val="none"/>
          <w:u w:val="single"/>
        </w:rPr>
        <w:t>中标人在收到中标通知书后，签订合同前须向招标人提交与电子文档一致的纸质投标文件一正一副。</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 投标人应充分考虑上传文件时的不可预见因素，未在投标文件递交截止时间前完成电子投标文件上传的，视为逾期送达，招标人（电子采购平台）将拒绝接收。</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19.3招标人有权按本须知的规定，延迟递交投标文件截止时间。在此情况下，招标人和投标人受递交投标文件截止时间制约的所有权利和义务均应延长至新的截止时间。</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20.投标文件的修改与撤回</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 在本章第19.1款规定的投标文件递交截止时间前，投标人可以修改或撤回已递交投标文件，投标人对加密的投标文件进行撤回的，应在电子采购平台直接进行撤回操作；投标人对加密的投标文件进行修改的，应按本章的规定进行编制、加密和递交，并在投标文件递交截止时间前完成上传。</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20.2在递交投标文件截止时间之后，投标人不得对其投标文件做任何修改。</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20.3招标人对所接收的投标文件概不退回。</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 投标文件的评审</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21.投标文件开启会议</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招标人将按投标人须知表21.1款中规定的时间和地点召开投标文件开启会，公布投标人名称、投标保证金递交情况、解密情况及其他内容，并记录在案。并邀请所有投标人代表参加，投标人代表不参加投标文件开启会的，视为该投标人默认投标文件开启会的结果。</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21.2投标人代表对投标文件开启会过程有疑义，以及认为招标人相关工作人员有需要回避的情形的，应当场提出询问或者回避申请。</w:t>
      </w:r>
    </w:p>
    <w:p>
      <w:pPr>
        <w:pStyle w:val="23"/>
        <w:ind w:firstLine="0"/>
        <w:rPr>
          <w:rFonts w:ascii="仿宋_GB2312" w:hAnsi="仿宋_GB2312" w:eastAsia="仿宋_GB2312" w:cs="仿宋_GB2312"/>
          <w:color w:val="auto"/>
          <w:spacing w:val="0"/>
          <w:kern w:val="2"/>
          <w:sz w:val="28"/>
          <w:szCs w:val="28"/>
          <w:highlight w:val="none"/>
        </w:rPr>
      </w:pPr>
      <w:r>
        <w:rPr>
          <w:rFonts w:hint="eastAsia" w:ascii="仿宋_GB2312" w:hAnsi="仿宋_GB2312" w:eastAsia="仿宋_GB2312" w:cs="仿宋_GB2312"/>
          <w:color w:val="auto"/>
          <w:spacing w:val="0"/>
          <w:kern w:val="2"/>
          <w:sz w:val="28"/>
          <w:szCs w:val="28"/>
          <w:highlight w:val="none"/>
        </w:rPr>
        <w:t>21.3 招标人在投标人解密截止时间后，对投标人解密成功的投标文件进行解密。</w:t>
      </w:r>
    </w:p>
    <w:p>
      <w:pPr>
        <w:pStyle w:val="23"/>
        <w:ind w:firstLine="0"/>
        <w:rPr>
          <w:rFonts w:ascii="仿宋_GB2312" w:hAnsi="仿宋_GB2312" w:eastAsia="仿宋_GB2312" w:cs="仿宋_GB2312"/>
          <w:color w:val="auto"/>
          <w:spacing w:val="0"/>
          <w:kern w:val="2"/>
          <w:sz w:val="28"/>
          <w:szCs w:val="28"/>
          <w:highlight w:val="none"/>
        </w:rPr>
      </w:pPr>
      <w:r>
        <w:rPr>
          <w:rFonts w:hint="eastAsia" w:ascii="仿宋_GB2312" w:hAnsi="仿宋_GB2312" w:eastAsia="仿宋_GB2312" w:cs="仿宋_GB2312"/>
          <w:color w:val="auto"/>
          <w:spacing w:val="0"/>
          <w:kern w:val="2"/>
          <w:sz w:val="28"/>
          <w:szCs w:val="28"/>
          <w:highlight w:val="none"/>
        </w:rPr>
        <w:t>21.4 若某一标段提交投标文件的投标人不足3家的则招标失败，招标人可以重新组织招标或</w:t>
      </w:r>
      <w:r>
        <w:rPr>
          <w:rFonts w:hint="eastAsia" w:ascii="仿宋_GB2312" w:hAnsi="仿宋_GB2312" w:eastAsia="仿宋_GB2312" w:cs="仿宋_GB2312"/>
          <w:color w:val="auto"/>
          <w:spacing w:val="0"/>
          <w:kern w:val="2"/>
          <w:sz w:val="28"/>
          <w:szCs w:val="28"/>
          <w:highlight w:val="none"/>
          <w:lang w:val="en-US" w:eastAsia="zh-CN"/>
        </w:rPr>
        <w:t>根据集团采购管理办法规定</w:t>
      </w:r>
      <w:r>
        <w:rPr>
          <w:rFonts w:hint="eastAsia" w:ascii="仿宋_GB2312" w:hAnsi="仿宋_GB2312" w:eastAsia="仿宋_GB2312" w:cs="仿宋_GB2312"/>
          <w:color w:val="auto"/>
          <w:spacing w:val="0"/>
          <w:kern w:val="2"/>
          <w:sz w:val="28"/>
          <w:szCs w:val="28"/>
          <w:highlight w:val="none"/>
        </w:rPr>
        <w:t>选择其他采购方式。</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 在投标文件开启会现场，招标人将按第四章“评审办法”规定的原则计算并宣布评审基准价。若招标人发现投标文件出现下列情况之一的，其投标报价将不再参加评审基准价的计算：</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（1）未在投标函上填写总价或总价大写金额无法确定具体数值的；</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（2）投标函中的总报价超出招标人公布的该标段的最高限价的；</w:t>
      </w:r>
    </w:p>
    <w:p>
      <w:pPr>
        <w:pStyle w:val="23"/>
        <w:rPr>
          <w:rFonts w:ascii="仿宋_GB2312" w:hAnsi="仿宋_GB2312" w:eastAsia="仿宋_GB2312" w:cs="仿宋_GB2312"/>
          <w:color w:val="auto"/>
          <w:spacing w:val="0"/>
          <w:kern w:val="2"/>
          <w:sz w:val="28"/>
          <w:szCs w:val="28"/>
          <w:highlight w:val="none"/>
        </w:rPr>
      </w:pPr>
      <w:r>
        <w:rPr>
          <w:rFonts w:hint="eastAsia" w:ascii="仿宋_GB2312" w:hAnsi="仿宋_GB2312" w:eastAsia="仿宋_GB2312" w:cs="仿宋_GB2312"/>
          <w:color w:val="auto"/>
          <w:spacing w:val="0"/>
          <w:kern w:val="2"/>
          <w:sz w:val="28"/>
          <w:szCs w:val="28"/>
          <w:highlight w:val="none"/>
        </w:rPr>
        <w:t>（3）投标函上填写的标段号与投标文件封面上标记的标段号不一致。</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投标人认为某一标段的评审基准价计算有误，有权在投标文件开启会现场提出，经招标人当场核实确认之后，可重新宣布评审基准价。投标文件开启会现场宣布的评审基准价计算有误经评审委员会修正外，在整个评审期间保持不变，不随任何因素发生变化。</w:t>
      </w:r>
    </w:p>
    <w:p>
      <w:pPr>
        <w:pStyle w:val="24"/>
        <w:spacing w:line="360" w:lineRule="auto"/>
        <w:ind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 在投标文件开启过程中，若招标人宣读的内容与投标文件不符时，投标人有权在投标文件开启会现场提出异议，经招标人当场核查确认之后，可重新宣读其投标文件。若投标人现场未提出异议，则认为投标人已确认招标人宣读的内容。</w:t>
      </w:r>
    </w:p>
    <w:p>
      <w:pPr>
        <w:pStyle w:val="24"/>
        <w:spacing w:line="360" w:lineRule="auto"/>
        <w:ind w:firstLine="0" w:firstLineChars="0"/>
        <w:rPr>
          <w:color w:val="auto"/>
          <w:sz w:val="28"/>
          <w:szCs w:val="28"/>
          <w:highlight w:val="none"/>
        </w:rPr>
      </w:pPr>
      <w:r>
        <w:rPr>
          <w:rFonts w:hint="eastAsia" w:ascii="仿宋_GB2312" w:hAnsi="仿宋_GB2312" w:eastAsia="仿宋_GB2312" w:cs="仿宋_GB2312"/>
          <w:color w:val="auto"/>
          <w:sz w:val="28"/>
          <w:szCs w:val="28"/>
          <w:highlight w:val="none"/>
        </w:rPr>
        <w:t>21.7  投标文件递交截止时间前未完成投标文件传输的，或因投标人之外的原因造成投标文件未解密的，均视为投标人撤回其电子投标文件。因投标人原因造成投标文件未完成上传或未在解密截止时间前解密的，视为撤销其投标文件。</w:t>
      </w:r>
    </w:p>
    <w:p>
      <w:pPr>
        <w:pStyle w:val="1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22.组建评审小组</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22.1按照《肇庆市交通集团有限公司采购管理办法》有关规定依规组建评审小组，负责本项目评审工作。</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 评审小组由招标人代表和评审专家共5人及以上单数组成。本项目评审小组组成详见投标人须知表21.2款。</w:t>
      </w:r>
    </w:p>
    <w:p>
      <w:pPr>
        <w:pStyle w:val="1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23.资格审查</w:t>
      </w:r>
    </w:p>
    <w:p>
      <w:pPr>
        <w:pStyle w:val="10"/>
        <w:adjustRightInd w:val="0"/>
        <w:snapToGrid w:val="0"/>
        <w:spacing w:line="360" w:lineRule="auto"/>
        <w:rPr>
          <w:rFonts w:ascii="仿宋_GB2312" w:hAnsi="仿宋_GB2312" w:eastAsia="仿宋_GB2312" w:cs="仿宋_GB2312"/>
          <w:strike/>
          <w:color w:val="auto"/>
          <w:sz w:val="28"/>
          <w:szCs w:val="28"/>
          <w:highlight w:val="none"/>
        </w:rPr>
      </w:pPr>
      <w:r>
        <w:rPr>
          <w:rFonts w:hint="eastAsia" w:ascii="仿宋_GB2312" w:hAnsi="仿宋_GB2312" w:eastAsia="仿宋_GB2312" w:cs="仿宋_GB2312"/>
          <w:color w:val="auto"/>
          <w:sz w:val="28"/>
          <w:szCs w:val="28"/>
          <w:highlight w:val="none"/>
        </w:rPr>
        <w:t>23.1 评审小组依据法律法规和招标文件中规定的内容，对投标人的资格（提交资格证明材料）进行审查。未通过资格审查的投标人不能进行下一阶段评审，其投标文件将被认定为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24.符合性审查</w:t>
      </w:r>
    </w:p>
    <w:p>
      <w:pPr>
        <w:adjustRightInd w:val="0"/>
        <w:snapToGrid w:val="0"/>
        <w:spacing w:line="360" w:lineRule="auto"/>
        <w:rPr>
          <w:rFonts w:ascii="仿宋_GB2312" w:hAnsi="仿宋_GB2312" w:eastAsia="仿宋_GB2312" w:cs="仿宋_GB2312"/>
          <w:strike/>
          <w:color w:val="auto"/>
          <w:sz w:val="28"/>
          <w:szCs w:val="28"/>
          <w:highlight w:val="none"/>
        </w:rPr>
      </w:pPr>
      <w:r>
        <w:rPr>
          <w:rFonts w:hint="eastAsia" w:ascii="仿宋_GB2312" w:hAnsi="仿宋_GB2312" w:eastAsia="仿宋_GB2312" w:cs="仿宋_GB2312"/>
          <w:color w:val="auto"/>
          <w:sz w:val="28"/>
          <w:szCs w:val="28"/>
          <w:highlight w:val="none"/>
        </w:rPr>
        <w:t>24.1</w:t>
      </w:r>
      <w:r>
        <w:rPr>
          <w:rFonts w:hint="eastAsia" w:ascii="仿宋_GB2312" w:hAnsi="仿宋_GB2312" w:eastAsia="仿宋_GB2312" w:cs="仿宋_GB2312"/>
          <w:color w:val="auto"/>
          <w:sz w:val="28"/>
          <w:szCs w:val="28"/>
          <w:highlight w:val="none"/>
          <w:shd w:val="clear" w:color="auto" w:fill="FFFFFF"/>
        </w:rPr>
        <w:t>符合性审查是指依据招标文件的规定，从投标文件的有效性和完整性对招标文件的响应程度进行审查，以确定是否对招标文件的实质性要求做出响应。</w:t>
      </w:r>
      <w:r>
        <w:rPr>
          <w:rFonts w:hint="eastAsia" w:ascii="仿宋_GB2312" w:hAnsi="仿宋_GB2312" w:eastAsia="仿宋_GB2312" w:cs="仿宋_GB2312"/>
          <w:color w:val="auto"/>
          <w:sz w:val="28"/>
          <w:szCs w:val="28"/>
          <w:highlight w:val="none"/>
        </w:rPr>
        <w:t>投标人应按照第六章“投标文件内容及格式”中的相应要求，提交符合性证明材料。未通过符合性审查的投标人不能进入下一阶段评审，其投标文件将被认定为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pStyle w:val="1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25.投标文件的澄清</w:t>
      </w:r>
    </w:p>
    <w:p>
      <w:pPr>
        <w:pStyle w:val="1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25.1评审小组可以通过电子采购平台要求投标人对投标文件中含义不明确、同类问题表述不一致或者有明显文字和计算错误的内容等，作出必要的澄清、说明或者更正。投标人的澄清、说明或者更正不得超出投标文件的范围或者改变投标文件的实质性内容。投标人拒不进行澄清、说明、补正的，或者不能在规定时间内作出书面澄清、说明、补正的，其投标文件将被作为</w:t>
      </w:r>
      <w:r>
        <w:rPr>
          <w:rFonts w:hint="eastAsia" w:ascii="仿宋_GB2312" w:hAnsi="仿宋_GB2312" w:eastAsia="仿宋_GB2312" w:cs="仿宋_GB2312"/>
          <w:b/>
          <w:bCs/>
          <w:color w:val="auto"/>
          <w:sz w:val="28"/>
          <w:szCs w:val="28"/>
          <w:highlight w:val="none"/>
        </w:rPr>
        <w:t>废标处理</w:t>
      </w:r>
      <w:r>
        <w:rPr>
          <w:rFonts w:hint="eastAsia" w:ascii="仿宋_GB2312" w:hAnsi="仿宋_GB2312" w:eastAsia="仿宋_GB2312" w:cs="仿宋_GB2312"/>
          <w:color w:val="auto"/>
          <w:sz w:val="28"/>
          <w:szCs w:val="28"/>
          <w:highlight w:val="none"/>
        </w:rPr>
        <w:t>。</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25.1.1投标人的澄清、说明或者补正应当通过电子采购平台以书面形式进行，由其法定代表人或其授权代表签字或加盖公章。</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25.1.2投标人的澄清、说明或补正将作为投标文件的一部分。</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25.2投标文件报价出现前后不一致的，按照下列规定修正：</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（1）投标文件中报价一览表内容与投标文件中相应内容不一致的，以报价一览表为准；</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（2）大写金额和小写金额不一致的，以大写金额为准；</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（3）总价金额与依据单价计算出的结果不一致的，以单价金额计算结果为准，但单价金额小数点或者百分比有明显错误的除外；</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（4）当单价与数量相乘不等于合价时，以单价计算为准，如果单价有明显的小数点位置差错，应以标出的合价为准，同时对单价予以修正；</w:t>
      </w:r>
    </w:p>
    <w:p>
      <w:pPr>
        <w:pStyle w:val="23"/>
        <w:ind w:firstLine="0"/>
        <w:rPr>
          <w:rFonts w:ascii="仿宋_GB2312" w:hAnsi="仿宋_GB2312" w:eastAsia="仿宋_GB2312" w:cs="仿宋_GB2312"/>
          <w:color w:val="auto"/>
          <w:spacing w:val="0"/>
          <w:kern w:val="2"/>
          <w:sz w:val="28"/>
          <w:szCs w:val="28"/>
          <w:highlight w:val="none"/>
        </w:rPr>
      </w:pPr>
      <w:r>
        <w:rPr>
          <w:rFonts w:hint="eastAsia" w:ascii="仿宋_GB2312" w:hAnsi="仿宋_GB2312" w:eastAsia="仿宋_GB2312" w:cs="仿宋_GB2312"/>
          <w:color w:val="auto"/>
          <w:spacing w:val="0"/>
          <w:kern w:val="2"/>
          <w:sz w:val="28"/>
          <w:szCs w:val="28"/>
          <w:highlight w:val="none"/>
        </w:rPr>
        <w:t>（5）当各子目的合价累计不等于总价时，应以各子目合价累计数为准，修正总价。</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同时出现两种以上不一致的，按照前款规定的顺序修正。修正后的报价经投标人确认后产生约束力，投标人不确认的，其投标文件将被认定为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25.3评审小组认为投标人的报价明显低于其他通过符合性审查投标人的报价，有可能影响产品质量或者不能诚信履约的，应当要求该投标人在合理的时间内提供书面说明，必要时提交相关证明材料；投标人不能证明其报价合理性的，评审小组应当将其作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处理。</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26.废标</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26.1在比较与评审之前，根据本须知的规定，评审小组要审查每份投标文件是否实质上响应了招标文件的要求。</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如果投标文件没有对招标文件的实质性要求进行响应，将作为</w:t>
      </w:r>
      <w:r>
        <w:rPr>
          <w:rFonts w:hint="eastAsia" w:ascii="仿宋_GB2312" w:hAnsi="仿宋_GB2312" w:eastAsia="仿宋_GB2312" w:cs="仿宋_GB2312"/>
          <w:b/>
          <w:bCs/>
          <w:color w:val="auto"/>
          <w:sz w:val="28"/>
          <w:szCs w:val="28"/>
          <w:highlight w:val="none"/>
        </w:rPr>
        <w:t>废标</w:t>
      </w:r>
      <w:r>
        <w:rPr>
          <w:rFonts w:hint="eastAsia" w:ascii="仿宋_GB2312" w:hAnsi="仿宋_GB2312" w:eastAsia="仿宋_GB2312" w:cs="仿宋_GB2312"/>
          <w:color w:val="auto"/>
          <w:sz w:val="28"/>
          <w:szCs w:val="28"/>
          <w:highlight w:val="none"/>
        </w:rPr>
        <w:t>处理，投标人不得再对投标文件进行任何修正从而使其响应成为实质上响应。</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评审小组决定投标文件的响应性只根据招标文件要求、投标文件内容及主管部门指定媒体发布的相关信息。</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26.2如发现下列情况之一的，其投标文件将被认定为废标，该投标文件不参与评审：</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（1）投标函未按照招标文件规定要求签署、盖章的；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（2）投标人的报价超过了招标文件中规定的最高限价的；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（3）不具备法律、法规和招标文件中规定的资格要求的；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（4）没有对招标文件中规定的实质性要求和条件作出响应的；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（5）评审小组认为投标人的报价明显低于其他通过符合性审查投标人的报价，有可能影响履约的，且投标人未按照规定证明其报价合理性的；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（6）投标人有串通投标、弄虚作假、行贿等违法行为的；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（7）未按招标文件的规定提交投标保证金的；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（8）投标有效期不足的；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（9）投标文件含有招标人不能接受的附加条件的；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（10）属于法律、法规和招标文件规定的其他投标文件无效情形。</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26.3 有下列情形之一的，视为投标人串通投标，其投标文件无效：</w:t>
      </w:r>
    </w:p>
    <w:p>
      <w:pPr>
        <w:adjustRightInd w:val="0"/>
        <w:snapToGrid w:val="0"/>
        <w:spacing w:line="360" w:lineRule="auto"/>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（1）不同投标人的投标文件由同一单位或者个人编制；</w:t>
      </w:r>
    </w:p>
    <w:p>
      <w:pPr>
        <w:adjustRightInd w:val="0"/>
        <w:snapToGrid w:val="0"/>
        <w:spacing w:line="360" w:lineRule="auto"/>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（2）不同投标人委托同一单位或者个人办理投标事宜；</w:t>
      </w:r>
    </w:p>
    <w:p>
      <w:pPr>
        <w:adjustRightInd w:val="0"/>
        <w:snapToGrid w:val="0"/>
        <w:spacing w:line="360" w:lineRule="auto"/>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（3）不同投标人的投标文件载明的项目管理成员或者联系人员为同一人；</w:t>
      </w:r>
    </w:p>
    <w:p>
      <w:pPr>
        <w:adjustRightInd w:val="0"/>
        <w:snapToGrid w:val="0"/>
        <w:spacing w:line="360" w:lineRule="auto"/>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（4）不同投标人的投标文件异常一致或者投标报价呈规律性差异；</w:t>
      </w:r>
    </w:p>
    <w:p>
      <w:pPr>
        <w:adjustRightInd w:val="0"/>
        <w:snapToGrid w:val="0"/>
        <w:spacing w:line="360" w:lineRule="auto"/>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（5）不同投标人的投标文件相互混装；</w:t>
      </w:r>
    </w:p>
    <w:p>
      <w:pPr>
        <w:adjustRightInd w:val="0"/>
        <w:snapToGrid w:val="0"/>
        <w:spacing w:line="360" w:lineRule="auto"/>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（6）不同投标人的投标保证金从同一单位或者个人的账户转出。</w:t>
      </w:r>
    </w:p>
    <w:p>
      <w:pPr>
        <w:adjustRightInd w:val="0"/>
        <w:snapToGrid w:val="0"/>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27.比较与评审</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27.1经符合性审查合格的投标文件，评审小组将根据投标人须知表27.1款规定的评审方法，对其作进一步的比较和评审。</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28.终止招标</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出现下列情形之一，招标人应当终止本次招标活动：</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（1）因情况变化，不再符合规定的自主招标方式适用情形的；          </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（2）出现影响招标公正的违法、违规行为的；</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（3）因重大变故，招标活动取消的。</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29.中标候选人的推荐原则及标准</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29.1除第28条和32条规定外，评审结束后，评审小组应当从质量和服务均能满足招标文件实质性响应要求的投标人中，按照最终得分由高到低的顺序按投标人须知表29.1款中规定数量推荐中标候选人。</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29.2 因推荐中标候选人名单产生其他问题，由评审小组集体研究处理。</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30.保密原则</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30.1对投标文件的评审应在严格保密的情况下进行。</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30.2有关人员应当遵守评审工作纪律，不得泄露投标文件、评审情况和评审过程中获悉的国家秘密、商业秘密。</w:t>
      </w:r>
    </w:p>
    <w:p>
      <w:pPr>
        <w:pStyle w:val="3"/>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 确定中标</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31.确定中标人</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招标人在收到评审报告7个工作日内在电子采购平台公示中标候选人，公示期不少于3日。</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招标人应从评审报告推荐的中标候选人中，根据招标文件的规定确定中标人，也可以书面授权评审小组直接确定中标人。本项目中标人确定方式详见投标人须知表第31条。</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32.招标活动取消</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因重大变故招标活动取消时，招标人有权拒绝任何投标人中标，且对受影响的投标人不承担任何责任。</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33.中标通知书</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33.1招标人应当自中标候选人公示结束后5个工作日内，向中标人发出中标通知书，并将结果通知所有参加招标活动的未中标的投标人。</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33.2中标通知书是合同的组成部分。</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34.签订合同</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34.1中标人应当自发出中标通知书之日起 30 日内，按照招标文件确定的合同文本以及采购要求等事项签订合同。</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34.2除不可抗力等因素外，中标通知书发出后，招标人改变中标结果，或者中标人拒绝签订合同的，应当承担相应的法律责任。</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招标文件、中标人的投标文件及其澄清文件等，均为签订合同的依据。所签订的合同不得对招标文件确定的事项和中标人投标文件作实质性修改。招标人不得向中标人提出任何不合理的要求，作为签订合同的条件，不得与中标人订立背离招标文件确定的合同文本以及招标标的、金额、数量、技术和服务要求等实质性内容的协议。</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中标人拒绝与招标人签订合同的，招标人可以按照评审报告推荐的中标候选人名单排序，确定下一中标候选人为中标人，也可以重新开展招标活动。拒绝签订合同的中标人需承担招标人的损失并不得参加对该项目重新开展的招标活动。</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35.履约保证金</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35.1 中标人应按照投标人须知表35.1款规定向招标人缴纳履约保证金。</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35.2 如果中标人没有按照上述履约保证金的规定执行，将视为拒绝签订合同并放弃中标资格，中标人的投标保证金将不予退还。在此情况下，招标人可确定下一中标候选人为中标人，也可以重新开展招标活动。</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36.廉洁自律规定</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36.1招标人的工作人员不得与投标人恶意串通操纵招标活动。</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36.2招标人的工作人员不得接受投标人组织的宴请、旅游、娱乐，不得收受礼品、现金、有价证券等，不得向投标人报销应当由个人承担的费用。</w:t>
      </w:r>
    </w:p>
    <w:p>
      <w:pPr>
        <w:adjustRightInd w:val="0"/>
        <w:snapToGrid w:val="0"/>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37.人员回避</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投标人认为招标人及其相关人员有法律法规所列与其他投标人有利害关系的，可以向招标人书面提出回避申请，并说明理由。</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38.质疑与接收</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38.1投标人认为招标文件、招标过程和中标结果使自己的权益受到损害的，可以根据招标文件的有关规定，依法向招标人提出质疑。</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38.2投标人应按照招标文件规定的质疑期内以书面形式通过电子采购平台提出质疑，针对同一采购程序环节的质疑应一次性提出。</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超出法定质疑期的、重复提出的、分次提出的或内容、非书面的，提出质疑的投标人将依法承担不利后果。</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38.3 招标人质疑函接收部门、联系电话和通讯地址, 见投标人须知表38.3款。</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39.其他</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39.1 本项目采用电子招标投标，电子招标投标的操作手册，投标人自行在肇庆市交通集团有限公司电子采购平台相关栏目下载。</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39.2 投标文件开启过程中若遇需要中止电子投标文件开启的以下情况发生，可由电子采购平台或招标人通知所有投标人新的投标文件开启时间（含解密时间）、地点，投标人应及时查看并在规定的时间内解密。投标人未到达现场参与投标文件开启会的，视为默认投标文件开启会结果。</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（1）电子采购平台系统服务器发生故障，无法访问或无法使用电子采购平台系统；</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（2）电子采购平台系统软件或数据库出现错误，不能进行正常操作的；</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（3）电子采购平台系统发现有安全漏洞，有潜在的泄密危险；</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（4）出现断电事故且短时间内无法恢复供电的；</w:t>
      </w:r>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（5）其他无法保证招标过程正常进行的情形。</w:t>
      </w:r>
    </w:p>
    <w:p>
      <w:pPr>
        <w:adjustRightInd w:val="0"/>
        <w:snapToGrid w:val="0"/>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39.3 若遇不可抗力发生（包括网络瘫痪、服务器损坏、电子采购平台故障短期无法恢复等因素），导致电子采购平台无法正常运行，应终止评审的，应在恢复正常后及时安排时间评审。</w:t>
      </w:r>
    </w:p>
    <w:p>
      <w:pPr>
        <w:adjustRightInd w:val="0"/>
        <w:snapToGrid w:val="0"/>
        <w:spacing w:line="360" w:lineRule="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 xml:space="preserve">39.4 </w:t>
      </w:r>
      <w:r>
        <w:rPr>
          <w:rFonts w:hint="eastAsia" w:ascii="仿宋_GB2312" w:hAnsi="仿宋_GB2312" w:eastAsia="仿宋_GB2312" w:cs="仿宋_GB2312"/>
          <w:b/>
          <w:bCs/>
          <w:color w:val="auto"/>
          <w:sz w:val="28"/>
          <w:szCs w:val="28"/>
          <w:highlight w:val="none"/>
        </w:rPr>
        <w:t>在评审过程中，如某一标段有效投标不足3家的，评标委员会对该标段投标是否明显缺乏竞争和是否需要否决全部投标进行充分论证，并在评标报告中记载论证过程和结果，明显缺乏竞争并否决全部投标的，则该标段招标失败，招标人可重新招标或根据集团采购管理办法规定采用其他采购方式。</w:t>
      </w:r>
    </w:p>
    <w:p>
      <w:pPr>
        <w:pStyle w:val="23"/>
        <w:ind w:firstLine="0"/>
        <w:rPr>
          <w:rFonts w:ascii="仿宋_GB2312" w:hAnsi="仿宋_GB2312" w:eastAsia="仿宋_GB2312" w:cs="仿宋_GB2312"/>
          <w:b/>
          <w:bCs/>
          <w:color w:val="auto"/>
          <w:spacing w:val="0"/>
          <w:kern w:val="2"/>
          <w:sz w:val="28"/>
          <w:szCs w:val="28"/>
          <w:highlight w:val="none"/>
        </w:rPr>
      </w:pPr>
      <w:r>
        <w:rPr>
          <w:rFonts w:hint="eastAsia" w:ascii="仿宋_GB2312" w:hAnsi="仿宋_GB2312" w:eastAsia="仿宋_GB2312" w:cs="仿宋_GB2312"/>
          <w:b/>
          <w:bCs/>
          <w:color w:val="auto"/>
          <w:spacing w:val="0"/>
          <w:kern w:val="2"/>
          <w:sz w:val="28"/>
          <w:szCs w:val="28"/>
          <w:highlight w:val="none"/>
        </w:rPr>
        <w:t>39.5 本次招标活动中，某一标段若发生招标失败、质疑或投诉等情形的，不影响其他标段的招投标活动的继续开展和评标结果。</w:t>
      </w:r>
    </w:p>
    <w:p>
      <w:pPr>
        <w:pStyle w:val="23"/>
        <w:ind w:firstLine="0"/>
        <w:rPr>
          <w:color w:val="auto"/>
          <w:sz w:val="28"/>
          <w:szCs w:val="28"/>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2"/>
        <w:adjustRightInd w:val="0"/>
        <w:snapToGrid w:val="0"/>
        <w:spacing w:before="240" w:beforeLines="100" w:after="240" w:afterLines="100" w:line="360" w:lineRule="auto"/>
        <w:jc w:val="center"/>
        <w:rPr>
          <w:rFonts w:ascii="仿宋" w:hAnsi="仿宋" w:eastAsia="仿宋" w:cs="仿宋"/>
          <w:color w:val="auto"/>
          <w:sz w:val="28"/>
          <w:szCs w:val="28"/>
          <w:highlight w:val="none"/>
        </w:rPr>
      </w:pPr>
      <w:bookmarkStart w:id="10" w:name="_Toc18170"/>
      <w:bookmarkStart w:id="11" w:name="_Toc30334"/>
      <w:bookmarkStart w:id="12" w:name="_Toc5779_WPSOffice_Level1"/>
      <w:r>
        <w:rPr>
          <w:rFonts w:hint="eastAsia" w:ascii="仿宋_GB2312" w:hAnsi="仿宋_GB2312" w:eastAsia="仿宋_GB2312" w:cs="仿宋_GB2312"/>
          <w:color w:val="auto"/>
          <w:sz w:val="28"/>
          <w:szCs w:val="28"/>
          <w:highlight w:val="none"/>
        </w:rPr>
        <w:t>第三章 招标人需求</w:t>
      </w:r>
      <w:bookmarkEnd w:id="10"/>
      <w:bookmarkEnd w:id="11"/>
      <w:bookmarkEnd w:id="12"/>
    </w:p>
    <w:p>
      <w:pPr>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服务类</w:t>
      </w:r>
    </w:p>
    <w:p>
      <w:pPr>
        <w:pStyle w:val="23"/>
        <w:numPr>
          <w:ilvl w:val="0"/>
          <w:numId w:val="4"/>
        </w:numPr>
        <w:ind w:firstLine="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项目名称：肇庆盈德油站项目招标代理服务采购项目</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服务地点：肇庆市端州区</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服务项目的规模和主要特征：肇庆盈德油站项目工程总预算为</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048</w:t>
      </w:r>
      <w:r>
        <w:rPr>
          <w:rFonts w:hint="eastAsia" w:ascii="仿宋" w:hAnsi="仿宋" w:eastAsia="仿宋" w:cs="仿宋"/>
          <w:color w:val="auto"/>
          <w:sz w:val="28"/>
          <w:szCs w:val="28"/>
          <w:highlight w:val="none"/>
        </w:rPr>
        <w:t>,331.20元，项目用地面积约为3249平方米，总建筑面积约为1115.9平方米，主要建、构筑如下：主要包括综合楼（含：站房）及加油罩棚 1 座、洗车机1座、油罐区 1 座以及隔油池、消防沙池等；为二级加油站，安装6台6枪加油机，设卧式埋地双层储油罐4个。</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服务范围：标的供应商为我司代理肇庆盈德油站项目建设的所有招标项目，须提供该相关项目招标文件前期咨询、编制文件并在相关指定网站发布公告、</w:t>
      </w:r>
      <w:r>
        <w:rPr>
          <w:rFonts w:hint="eastAsia" w:ascii="仿宋" w:hAnsi="仿宋" w:eastAsia="仿宋" w:cs="仿宋"/>
          <w:color w:val="auto"/>
          <w:sz w:val="28"/>
          <w:szCs w:val="28"/>
          <w:highlight w:val="none"/>
          <w:lang w:val="en-US" w:eastAsia="zh-CN"/>
        </w:rPr>
        <w:t>组织开标、评标、</w:t>
      </w:r>
      <w:r>
        <w:rPr>
          <w:rFonts w:hint="eastAsia" w:ascii="仿宋" w:hAnsi="仿宋" w:eastAsia="仿宋" w:cs="仿宋"/>
          <w:color w:val="auto"/>
          <w:sz w:val="28"/>
          <w:szCs w:val="28"/>
          <w:highlight w:val="none"/>
        </w:rPr>
        <w:t>整理及移交相关档案</w:t>
      </w:r>
      <w:r>
        <w:rPr>
          <w:rFonts w:hint="eastAsia" w:ascii="仿宋" w:hAnsi="仿宋" w:eastAsia="仿宋" w:cs="仿宋"/>
          <w:color w:val="auto"/>
          <w:sz w:val="28"/>
          <w:szCs w:val="28"/>
          <w:highlight w:val="none"/>
          <w:lang w:val="en-US" w:eastAsia="zh-CN"/>
        </w:rPr>
        <w:t>等与招标有关的工作</w:t>
      </w:r>
      <w:r>
        <w:rPr>
          <w:rFonts w:hint="eastAsia" w:ascii="仿宋" w:hAnsi="仿宋" w:eastAsia="仿宋" w:cs="仿宋"/>
          <w:color w:val="auto"/>
          <w:sz w:val="28"/>
          <w:szCs w:val="28"/>
          <w:highlight w:val="none"/>
        </w:rPr>
        <w:t>。</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服务质量标准：编制的招标文件应严格遵循《中华人民共和国招标投标法》、《工程建设项目施工招标投标办法》、《中华人民共和国招标投标法实施条例》等招投标、工程质量等相关法律法规。</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服务期：自签订合同日起至各项目招标工作完成并移交资料后全部履行完毕之日终结。</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服务费的支付：由招标代理机构按“国家或行业标准*代理报价（折扣率）”，向每个招标项目的中标人收取。</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服务成果的要求及验收标准：招标过程合规合法完成后，以移交档案确认无误后方为验收。</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服务成果清单：项目过程资料，具体按每个项目的实际情况为准。</w:t>
      </w:r>
    </w:p>
    <w:p>
      <w:pPr>
        <w:pStyle w:val="24"/>
        <w:numPr>
          <w:ilvl w:val="0"/>
          <w:numId w:val="4"/>
        </w:numPr>
        <w:spacing w:line="360" w:lineRule="auto"/>
        <w:ind w:firstLine="0"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其他：投标人承诺，如项目完成后，审计部门发起相关调查，投标人应无条件配合。</w:t>
      </w:r>
    </w:p>
    <w:p>
      <w:pPr>
        <w:adjustRightInd w:val="0"/>
        <w:snapToGrid w:val="0"/>
        <w:spacing w:line="360" w:lineRule="auto"/>
        <w:ind w:firstLine="560" w:firstLineChars="200"/>
        <w:rPr>
          <w:rFonts w:ascii="仿宋" w:hAnsi="仿宋" w:eastAsia="仿宋" w:cs="仿宋"/>
          <w:color w:val="auto"/>
          <w:sz w:val="28"/>
          <w:szCs w:val="28"/>
          <w:highlight w:val="none"/>
        </w:rPr>
      </w:pPr>
    </w:p>
    <w:p>
      <w:pPr>
        <w:pStyle w:val="9"/>
        <w:rPr>
          <w:rFonts w:ascii="仿宋_GB2312" w:hAnsi="仿宋_GB2312" w:eastAsia="仿宋_GB2312" w:cs="仿宋_GB2312"/>
          <w:color w:val="auto"/>
          <w:sz w:val="28"/>
          <w:szCs w:val="28"/>
          <w:highlight w:val="none"/>
        </w:rPr>
      </w:pPr>
    </w:p>
    <w:p>
      <w:pPr>
        <w:pStyle w:val="9"/>
        <w:rPr>
          <w:rFonts w:ascii="仿宋_GB2312" w:hAnsi="仿宋_GB2312" w:eastAsia="仿宋_GB2312" w:cs="仿宋_GB2312"/>
          <w:color w:val="auto"/>
          <w:sz w:val="28"/>
          <w:szCs w:val="28"/>
          <w:highlight w:val="none"/>
        </w:rPr>
      </w:pPr>
    </w:p>
    <w:p>
      <w:pPr>
        <w:numPr>
          <w:ilvl w:val="0"/>
          <w:numId w:val="5"/>
        </w:numPr>
        <w:jc w:val="center"/>
        <w:rPr>
          <w:rFonts w:ascii="仿宋_GB2312" w:hAnsi="仿宋_GB2312" w:eastAsia="仿宋_GB2312" w:cs="仿宋_GB2312"/>
          <w:b/>
          <w:bCs/>
          <w:color w:val="auto"/>
          <w:sz w:val="30"/>
          <w:szCs w:val="30"/>
          <w:highlight w:val="none"/>
        </w:rPr>
      </w:pPr>
      <w:bookmarkStart w:id="13" w:name="_Toc31475"/>
      <w:r>
        <w:rPr>
          <w:rFonts w:hint="eastAsia" w:ascii="仿宋_GB2312" w:hAnsi="仿宋_GB2312" w:eastAsia="仿宋_GB2312" w:cs="仿宋_GB2312"/>
          <w:b/>
          <w:bCs/>
          <w:color w:val="auto"/>
          <w:sz w:val="30"/>
          <w:szCs w:val="30"/>
          <w:highlight w:val="none"/>
        </w:rPr>
        <w:t>评审方法（综合评分法）</w:t>
      </w:r>
      <w:bookmarkEnd w:id="13"/>
    </w:p>
    <w:p>
      <w:pPr>
        <w:rPr>
          <w:rFonts w:ascii="仿宋_GB2312" w:hAnsi="仿宋_GB2312" w:eastAsia="仿宋_GB2312" w:cs="仿宋_GB2312"/>
          <w:color w:val="auto"/>
          <w:sz w:val="28"/>
          <w:szCs w:val="28"/>
          <w:highlight w:val="none"/>
        </w:rPr>
      </w:pPr>
    </w:p>
    <w:p>
      <w:pPr>
        <w:adjustRightInd w:val="0"/>
        <w:snapToGrid w:val="0"/>
        <w:spacing w:line="360" w:lineRule="auto"/>
        <w:ind w:firstLine="560" w:firstLineChars="200"/>
        <w:rPr>
          <w:rFonts w:ascii="仿宋" w:hAnsi="仿宋" w:eastAsia="仿宋" w:cs="仿宋"/>
          <w:b/>
          <w:color w:val="auto"/>
          <w:kern w:val="0"/>
          <w:sz w:val="28"/>
          <w:szCs w:val="28"/>
          <w:highlight w:val="none"/>
        </w:rPr>
      </w:pPr>
      <w:r>
        <w:rPr>
          <w:rFonts w:hint="eastAsia" w:ascii="仿宋" w:hAnsi="仿宋" w:eastAsia="仿宋" w:cs="仿宋"/>
          <w:bCs/>
          <w:color w:val="auto"/>
          <w:kern w:val="0"/>
          <w:sz w:val="28"/>
          <w:szCs w:val="28"/>
          <w:highlight w:val="none"/>
        </w:rPr>
        <w:t>本项目将按照招标文件第二章投标人须知中“六 评审”、“七 确定中标”及本章的规定评审。</w:t>
      </w:r>
    </w:p>
    <w:p>
      <w:pPr>
        <w:adjustRightInd w:val="0"/>
        <w:snapToGrid w:val="0"/>
        <w:spacing w:line="360" w:lineRule="auto"/>
        <w:ind w:firstLine="562" w:firstLineChars="20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一、评审方法</w:t>
      </w:r>
    </w:p>
    <w:p>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综合评分法。</w:t>
      </w:r>
    </w:p>
    <w:p>
      <w:pPr>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二、评审原则及程序</w:t>
      </w:r>
    </w:p>
    <w:p>
      <w:pPr>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（一）评审原则</w:t>
      </w:r>
    </w:p>
    <w:p>
      <w:pPr>
        <w:adjustRightInd w:val="0"/>
        <w:snapToGrid w:val="0"/>
        <w:spacing w:line="360" w:lineRule="auto"/>
        <w:ind w:firstLine="560" w:firstLineChars="200"/>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评审小组应当遵</w:t>
      </w:r>
      <w:r>
        <w:rPr>
          <w:rFonts w:hint="eastAsia" w:ascii="仿宋" w:hAnsi="仿宋" w:eastAsia="仿宋" w:cs="仿宋"/>
          <w:color w:val="auto"/>
          <w:sz w:val="28"/>
          <w:szCs w:val="28"/>
          <w:highlight w:val="none"/>
        </w:rPr>
        <w:t>纪守法，客观、公正、廉洁地履行职责</w:t>
      </w:r>
      <w:r>
        <w:rPr>
          <w:rFonts w:hint="eastAsia" w:ascii="仿宋" w:hAnsi="仿宋" w:eastAsia="仿宋" w:cs="仿宋"/>
          <w:color w:val="auto"/>
          <w:kern w:val="0"/>
          <w:sz w:val="28"/>
          <w:szCs w:val="28"/>
          <w:highlight w:val="none"/>
        </w:rPr>
        <w:t>，根据</w:t>
      </w:r>
      <w:r>
        <w:rPr>
          <w:rFonts w:hint="eastAsia" w:ascii="仿宋" w:hAnsi="仿宋" w:eastAsia="仿宋" w:cs="仿宋"/>
          <w:color w:val="auto"/>
          <w:sz w:val="28"/>
          <w:szCs w:val="28"/>
          <w:highlight w:val="none"/>
        </w:rPr>
        <w:t>招标文件</w:t>
      </w:r>
      <w:r>
        <w:rPr>
          <w:rFonts w:hint="eastAsia" w:ascii="仿宋" w:hAnsi="仿宋" w:eastAsia="仿宋" w:cs="仿宋"/>
          <w:color w:val="auto"/>
          <w:kern w:val="0"/>
          <w:sz w:val="28"/>
          <w:szCs w:val="28"/>
          <w:highlight w:val="none"/>
        </w:rPr>
        <w:t>规定的评审程序、评审方法和评审标准进行独立评审。</w:t>
      </w:r>
    </w:p>
    <w:p>
      <w:pPr>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（二）评审程序</w:t>
      </w:r>
    </w:p>
    <w:p>
      <w:pPr>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1、确认招标文件</w:t>
      </w:r>
    </w:p>
    <w:p>
      <w:pPr>
        <w:adjustRightInd w:val="0"/>
        <w:snapToGrid w:val="0"/>
        <w:spacing w:line="360" w:lineRule="auto"/>
        <w:ind w:firstLine="560"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招标文件内容违反国家有关强制性规定的，评审小组应当停止评审并向招标人说明情况。</w:t>
      </w:r>
    </w:p>
    <w:p>
      <w:pPr>
        <w:adjustRightInd w:val="0"/>
        <w:snapToGrid w:val="0"/>
        <w:spacing w:line="360" w:lineRule="auto"/>
        <w:ind w:firstLine="562" w:firstLineChars="200"/>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2资格审查</w:t>
      </w:r>
    </w:p>
    <w:p>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详见投标人须知2</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条。资格审查表详见本章附件1。</w:t>
      </w:r>
    </w:p>
    <w:p>
      <w:pPr>
        <w:adjustRightInd w:val="0"/>
        <w:snapToGrid w:val="0"/>
        <w:spacing w:line="360" w:lineRule="auto"/>
        <w:ind w:firstLine="562" w:firstLineChars="20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3.符合性检查</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详见投标人须知2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款。符合性审查表详见本章附件2。</w:t>
      </w:r>
    </w:p>
    <w:p>
      <w:pPr>
        <w:adjustRightInd w:val="0"/>
        <w:snapToGrid w:val="0"/>
        <w:spacing w:line="360" w:lineRule="auto"/>
        <w:ind w:firstLine="562" w:firstLineChars="200"/>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4、比较及评审</w:t>
      </w:r>
    </w:p>
    <w:p>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4.1评审小组对通过资格审查、符合性审查的投标文件进行比较和评审。</w:t>
      </w:r>
    </w:p>
    <w:p>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4.2对投标文件的澄清按投标人须知2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条内容执行。</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4.3评审小组</w:t>
      </w:r>
      <w:r>
        <w:rPr>
          <w:rFonts w:hint="eastAsia" w:ascii="仿宋" w:hAnsi="仿宋" w:eastAsia="仿宋" w:cs="仿宋"/>
          <w:color w:val="auto"/>
          <w:sz w:val="28"/>
          <w:szCs w:val="28"/>
          <w:highlight w:val="none"/>
        </w:rPr>
        <w:t>认为投标人的报价明显低于其他通过符合性审查的投标人报价，有可能影响产品质量或者不能诚信履约的，评审小组应当要求其在评审现场合理的时间（</w:t>
      </w:r>
      <w:r>
        <w:rPr>
          <w:rFonts w:hint="eastAsia" w:ascii="仿宋" w:hAnsi="仿宋" w:eastAsia="仿宋" w:cs="仿宋"/>
          <w:color w:val="auto"/>
          <w:kern w:val="0"/>
          <w:sz w:val="28"/>
          <w:szCs w:val="28"/>
          <w:highlight w:val="none"/>
        </w:rPr>
        <w:t>接到通知后</w:t>
      </w:r>
      <w:r>
        <w:rPr>
          <w:rFonts w:hint="eastAsia" w:ascii="仿宋" w:hAnsi="仿宋" w:eastAsia="仿宋" w:cs="仿宋"/>
          <w:b/>
          <w:bCs/>
          <w:color w:val="auto"/>
          <w:kern w:val="0"/>
          <w:sz w:val="28"/>
          <w:szCs w:val="28"/>
          <w:highlight w:val="none"/>
          <w:u w:val="single"/>
        </w:rPr>
        <w:t xml:space="preserve"> 1 </w:t>
      </w:r>
      <w:r>
        <w:rPr>
          <w:rFonts w:hint="eastAsia" w:ascii="仿宋" w:hAnsi="仿宋" w:eastAsia="仿宋" w:cs="仿宋"/>
          <w:color w:val="auto"/>
          <w:kern w:val="0"/>
          <w:sz w:val="28"/>
          <w:szCs w:val="28"/>
          <w:highlight w:val="none"/>
        </w:rPr>
        <w:t>小时</w:t>
      </w:r>
      <w:r>
        <w:rPr>
          <w:rFonts w:hint="eastAsia" w:ascii="仿宋" w:hAnsi="仿宋" w:eastAsia="仿宋" w:cs="仿宋"/>
          <w:color w:val="auto"/>
          <w:sz w:val="28"/>
          <w:szCs w:val="28"/>
          <w:highlight w:val="none"/>
        </w:rPr>
        <w:t>）内通过电子采购平台提供书面说明，并提交相关证明材料，</w:t>
      </w:r>
      <w:r>
        <w:rPr>
          <w:rFonts w:hint="eastAsia" w:ascii="仿宋" w:hAnsi="仿宋" w:eastAsia="仿宋" w:cs="仿宋"/>
          <w:color w:val="auto"/>
          <w:kern w:val="0"/>
          <w:sz w:val="28"/>
          <w:szCs w:val="28"/>
          <w:highlight w:val="none"/>
        </w:rPr>
        <w:t>投标人不能证明其报价合理性的，评审小组应当将</w:t>
      </w:r>
      <w:r>
        <w:rPr>
          <w:rFonts w:hint="eastAsia" w:ascii="仿宋" w:hAnsi="仿宋" w:eastAsia="仿宋" w:cs="仿宋"/>
          <w:color w:val="auto"/>
          <w:sz w:val="28"/>
          <w:szCs w:val="28"/>
          <w:highlight w:val="none"/>
        </w:rPr>
        <w:t>其响应作为</w:t>
      </w:r>
      <w:r>
        <w:rPr>
          <w:rFonts w:hint="eastAsia" w:ascii="仿宋" w:hAnsi="仿宋" w:eastAsia="仿宋" w:cs="仿宋"/>
          <w:b/>
          <w:bCs/>
          <w:color w:val="auto"/>
          <w:sz w:val="28"/>
          <w:szCs w:val="28"/>
          <w:highlight w:val="none"/>
        </w:rPr>
        <w:t>废标处理</w:t>
      </w:r>
      <w:r>
        <w:rPr>
          <w:rFonts w:hint="eastAsia" w:ascii="仿宋" w:hAnsi="仿宋" w:eastAsia="仿宋" w:cs="仿宋"/>
          <w:color w:val="auto"/>
          <w:sz w:val="28"/>
          <w:szCs w:val="28"/>
          <w:highlight w:val="none"/>
        </w:rPr>
        <w:t>。</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投标人的书面说明材料包含本身成本、人工费用、运输、税收等，以及投标报价不会影响产品质量或诚信履约能力的说明等。</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提供书面说明后，评审小组应当结合招标项目招标人需求、专业实际情况、投标人财务状况报告、与其他投标人比较情况等投标人的书面说明进行审查评价。投标人如有下列情况的，评审小组应当将其投标文件作为</w:t>
      </w:r>
      <w:r>
        <w:rPr>
          <w:rFonts w:hint="eastAsia" w:ascii="仿宋" w:hAnsi="仿宋" w:eastAsia="仿宋" w:cs="仿宋"/>
          <w:b/>
          <w:bCs/>
          <w:color w:val="auto"/>
          <w:sz w:val="28"/>
          <w:szCs w:val="28"/>
          <w:highlight w:val="none"/>
        </w:rPr>
        <w:t>废标处理</w:t>
      </w:r>
      <w:r>
        <w:rPr>
          <w:rFonts w:hint="eastAsia" w:ascii="仿宋" w:hAnsi="仿宋" w:eastAsia="仿宋" w:cs="仿宋"/>
          <w:color w:val="auto"/>
          <w:sz w:val="28"/>
          <w:szCs w:val="28"/>
          <w:highlight w:val="none"/>
        </w:rPr>
        <w:t>：</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（1）拒绝或者变相拒绝提供有效书面说明；</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（2）书面说明不能证明其报价合理性的；</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（3）未在规定时间内递交有效书面说明书的。</w:t>
      </w:r>
    </w:p>
    <w:p>
      <w:pPr>
        <w:pStyle w:val="23"/>
        <w:ind w:firstLine="0"/>
        <w:rPr>
          <w:rFonts w:hint="eastAsia" w:ascii="仿宋_GB2312" w:hAnsi="仿宋_GB2312" w:eastAsia="仿宋_GB2312" w:cs="仿宋_GB2312"/>
          <w:b/>
          <w:bCs/>
          <w:color w:val="auto"/>
          <w:spacing w:val="0"/>
          <w:kern w:val="2"/>
          <w:sz w:val="28"/>
          <w:szCs w:val="28"/>
          <w:highlight w:val="none"/>
        </w:rPr>
      </w:pPr>
      <w:r>
        <w:rPr>
          <w:rFonts w:hint="eastAsia" w:ascii="仿宋_GB2312" w:hAnsi="仿宋_GB2312" w:eastAsia="仿宋_GB2312" w:cs="仿宋_GB2312"/>
          <w:b/>
          <w:bCs/>
          <w:color w:val="auto"/>
          <w:spacing w:val="0"/>
          <w:kern w:val="2"/>
          <w:sz w:val="28"/>
          <w:szCs w:val="28"/>
          <w:highlight w:val="none"/>
        </w:rPr>
        <w:t>4.4 分值构成与评分标准</w:t>
      </w:r>
    </w:p>
    <w:p>
      <w:pPr>
        <w:pStyle w:val="24"/>
        <w:rPr>
          <w:rFonts w:hint="eastAsia" w:ascii="仿宋_GB2312" w:hAnsi="仿宋_GB2312" w:eastAsia="仿宋_GB2312" w:cs="仿宋_GB2312"/>
          <w:b/>
          <w:bCs/>
          <w:color w:val="auto"/>
          <w:spacing w:val="0"/>
          <w:kern w:val="2"/>
          <w:sz w:val="28"/>
          <w:szCs w:val="28"/>
          <w:highlight w:val="none"/>
        </w:rPr>
      </w:pPr>
    </w:p>
    <w:tbl>
      <w:tblPr>
        <w:tblStyle w:val="18"/>
        <w:tblpPr w:leftFromText="180" w:rightFromText="180" w:vertAnchor="text" w:horzAnchor="page" w:tblpX="1507" w:tblpY="58"/>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131"/>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trPr>
        <w:tc>
          <w:tcPr>
            <w:tcW w:w="2042" w:type="dxa"/>
            <w:gridSpan w:val="2"/>
            <w:shd w:val="clear" w:color="auto" w:fill="FFFFFF"/>
            <w:vAlign w:val="bottom"/>
          </w:tcPr>
          <w:p>
            <w:pPr>
              <w:pStyle w:val="26"/>
              <w:keepNext w:val="0"/>
              <w:keepLines w:val="0"/>
              <w:suppressLineNumbers w:val="0"/>
              <w:shd w:val="clear" w:color="auto" w:fill="auto"/>
              <w:spacing w:before="0" w:beforeAutospacing="0" w:after="0" w:afterAutospacing="0" w:line="240" w:lineRule="auto"/>
              <w:ind w:left="42" w:leftChars="20" w:right="42" w:rightChars="20"/>
              <w:jc w:val="center"/>
              <w:rPr>
                <w:rFonts w:hint="default" w:ascii="仿宋" w:hAnsi="仿宋" w:eastAsia="仿宋" w:cs="仿宋"/>
                <w:b/>
                <w:bCs/>
                <w:color w:val="auto"/>
                <w:sz w:val="28"/>
                <w:szCs w:val="28"/>
                <w:highlight w:val="none"/>
              </w:rPr>
            </w:pPr>
            <w:r>
              <w:rPr>
                <w:rStyle w:val="27"/>
                <w:rFonts w:hint="eastAsia" w:ascii="仿宋" w:hAnsi="仿宋" w:eastAsia="仿宋" w:cs="仿宋"/>
                <w:b/>
                <w:bCs/>
                <w:color w:val="auto"/>
                <w:sz w:val="28"/>
                <w:szCs w:val="28"/>
                <w:highlight w:val="none"/>
                <w:lang w:val="zh-CN"/>
              </w:rPr>
              <w:t>条款号</w:t>
            </w:r>
          </w:p>
        </w:tc>
        <w:tc>
          <w:tcPr>
            <w:tcW w:w="7172" w:type="dxa"/>
            <w:shd w:val="clear" w:color="auto" w:fill="FFFFFF"/>
            <w:vAlign w:val="bottom"/>
          </w:tcPr>
          <w:p>
            <w:pPr>
              <w:pStyle w:val="26"/>
              <w:keepNext w:val="0"/>
              <w:keepLines w:val="0"/>
              <w:suppressLineNumbers w:val="0"/>
              <w:shd w:val="clear" w:color="auto" w:fill="auto"/>
              <w:spacing w:before="0" w:beforeAutospacing="0" w:after="0" w:afterAutospacing="0" w:line="240" w:lineRule="auto"/>
              <w:ind w:left="42" w:leftChars="20" w:right="42" w:rightChars="20"/>
              <w:jc w:val="center"/>
              <w:rPr>
                <w:rFonts w:hint="default" w:ascii="仿宋" w:hAnsi="仿宋" w:eastAsia="仿宋" w:cs="仿宋"/>
                <w:b/>
                <w:bCs/>
                <w:color w:val="auto"/>
                <w:sz w:val="28"/>
                <w:szCs w:val="28"/>
                <w:highlight w:val="none"/>
              </w:rPr>
            </w:pPr>
            <w:r>
              <w:rPr>
                <w:rStyle w:val="27"/>
                <w:rFonts w:hint="eastAsia" w:ascii="仿宋" w:hAnsi="仿宋" w:eastAsia="仿宋" w:cs="仿宋"/>
                <w:b/>
                <w:bCs/>
                <w:color w:val="auto"/>
                <w:sz w:val="28"/>
                <w:szCs w:val="28"/>
                <w:highlight w:val="none"/>
                <w:lang w:val="zh-CN"/>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exact"/>
        </w:trPr>
        <w:tc>
          <w:tcPr>
            <w:tcW w:w="911" w:type="dxa"/>
            <w:shd w:val="clear" w:color="auto" w:fill="FFFFFF"/>
            <w:vAlign w:val="center"/>
          </w:tcPr>
          <w:p>
            <w:pPr>
              <w:pStyle w:val="26"/>
              <w:keepNext w:val="0"/>
              <w:keepLines w:val="0"/>
              <w:suppressLineNumbers w:val="0"/>
              <w:shd w:val="clear" w:color="auto" w:fill="auto"/>
              <w:spacing w:before="0" w:beforeAutospacing="0" w:after="0" w:afterAutospacing="0" w:line="240" w:lineRule="auto"/>
              <w:ind w:left="42" w:leftChars="20" w:right="42" w:rightChars="20"/>
              <w:jc w:val="center"/>
              <w:rPr>
                <w:rFonts w:hint="default" w:ascii="仿宋" w:hAnsi="仿宋" w:eastAsia="仿宋" w:cs="仿宋"/>
                <w:color w:val="auto"/>
                <w:sz w:val="28"/>
                <w:szCs w:val="28"/>
                <w:highlight w:val="none"/>
              </w:rPr>
            </w:pPr>
            <w:r>
              <w:rPr>
                <w:rStyle w:val="28"/>
                <w:rFonts w:hint="eastAsia" w:ascii="仿宋" w:hAnsi="仿宋" w:eastAsia="仿宋" w:cs="仿宋"/>
                <w:color w:val="auto"/>
                <w:sz w:val="28"/>
                <w:szCs w:val="28"/>
                <w:highlight w:val="none"/>
              </w:rPr>
              <w:t>4.4.</w:t>
            </w:r>
            <w:r>
              <w:rPr>
                <w:rStyle w:val="28"/>
                <w:rFonts w:hint="eastAsia" w:ascii="仿宋" w:hAnsi="仿宋" w:eastAsia="仿宋" w:cs="仿宋"/>
                <w:color w:val="auto"/>
                <w:sz w:val="28"/>
                <w:szCs w:val="28"/>
                <w:highlight w:val="none"/>
                <w:lang w:val="zh-CN"/>
              </w:rPr>
              <w:t>1</w:t>
            </w:r>
          </w:p>
        </w:tc>
        <w:tc>
          <w:tcPr>
            <w:tcW w:w="1131" w:type="dxa"/>
            <w:shd w:val="clear" w:color="auto" w:fill="FFFFFF"/>
            <w:vAlign w:val="center"/>
          </w:tcPr>
          <w:p>
            <w:pPr>
              <w:pStyle w:val="26"/>
              <w:keepNext w:val="0"/>
              <w:keepLines w:val="0"/>
              <w:suppressLineNumbers w:val="0"/>
              <w:shd w:val="clear" w:color="auto" w:fill="auto"/>
              <w:spacing w:before="0" w:beforeAutospacing="0" w:after="0" w:afterAutospacing="0" w:line="240" w:lineRule="auto"/>
              <w:ind w:left="42" w:leftChars="20" w:right="42" w:rightChars="20"/>
              <w:jc w:val="center"/>
              <w:rPr>
                <w:rFonts w:hint="default" w:ascii="仿宋" w:hAnsi="仿宋" w:eastAsia="仿宋" w:cs="仿宋"/>
                <w:color w:val="auto"/>
                <w:sz w:val="28"/>
                <w:szCs w:val="28"/>
                <w:highlight w:val="none"/>
              </w:rPr>
            </w:pPr>
            <w:r>
              <w:rPr>
                <w:rStyle w:val="28"/>
                <w:rFonts w:hint="eastAsia" w:ascii="仿宋" w:hAnsi="仿宋" w:eastAsia="仿宋" w:cs="仿宋"/>
                <w:color w:val="auto"/>
                <w:sz w:val="28"/>
                <w:szCs w:val="28"/>
                <w:highlight w:val="none"/>
                <w:lang w:val="zh-CN"/>
              </w:rPr>
              <w:t>评</w:t>
            </w:r>
            <w:r>
              <w:rPr>
                <w:rStyle w:val="28"/>
                <w:rFonts w:hint="eastAsia" w:ascii="仿宋" w:hAnsi="仿宋" w:eastAsia="仿宋" w:cs="仿宋"/>
                <w:color w:val="auto"/>
                <w:sz w:val="28"/>
                <w:szCs w:val="28"/>
                <w:highlight w:val="none"/>
              </w:rPr>
              <w:t>审</w:t>
            </w:r>
            <w:r>
              <w:rPr>
                <w:rStyle w:val="28"/>
                <w:rFonts w:hint="eastAsia" w:ascii="仿宋" w:hAnsi="仿宋" w:eastAsia="仿宋" w:cs="仿宋"/>
                <w:color w:val="auto"/>
                <w:sz w:val="28"/>
                <w:szCs w:val="28"/>
                <w:highlight w:val="none"/>
                <w:lang w:val="zh-CN"/>
              </w:rPr>
              <w:t>方法</w:t>
            </w:r>
          </w:p>
        </w:tc>
        <w:tc>
          <w:tcPr>
            <w:tcW w:w="7172" w:type="dxa"/>
            <w:shd w:val="clear" w:color="auto" w:fill="FFFFFF"/>
            <w:vAlign w:val="center"/>
          </w:tcPr>
          <w:p>
            <w:pPr>
              <w:pStyle w:val="26"/>
              <w:keepNext w:val="0"/>
              <w:keepLines w:val="0"/>
              <w:suppressLineNumbers w:val="0"/>
              <w:shd w:val="clear" w:color="auto" w:fill="auto"/>
              <w:spacing w:before="0" w:beforeAutospacing="0" w:after="0" w:afterAutospacing="0" w:line="240" w:lineRule="auto"/>
              <w:ind w:left="0" w:right="42" w:rightChars="20" w:firstLine="560" w:firstLineChars="200"/>
              <w:jc w:val="both"/>
              <w:rPr>
                <w:rStyle w:val="29"/>
                <w:rFonts w:hint="default" w:ascii="仿宋" w:hAnsi="仿宋" w:eastAsia="仿宋" w:cs="仿宋"/>
                <w:color w:val="auto"/>
                <w:sz w:val="28"/>
                <w:szCs w:val="28"/>
                <w:highlight w:val="none"/>
                <w:lang w:val="zh-CN"/>
              </w:rPr>
            </w:pPr>
            <w:r>
              <w:rPr>
                <w:rStyle w:val="29"/>
                <w:rFonts w:hint="eastAsia" w:ascii="仿宋" w:hAnsi="仿宋" w:eastAsia="仿宋" w:cs="仿宋"/>
                <w:color w:val="auto"/>
                <w:sz w:val="28"/>
                <w:szCs w:val="28"/>
                <w:highlight w:val="none"/>
                <w:lang w:val="zh-CN"/>
              </w:rPr>
              <w:t>综合评分相等时，评</w:t>
            </w:r>
            <w:r>
              <w:rPr>
                <w:rStyle w:val="29"/>
                <w:rFonts w:hint="eastAsia" w:ascii="仿宋" w:hAnsi="仿宋" w:eastAsia="仿宋" w:cs="仿宋"/>
                <w:color w:val="auto"/>
                <w:sz w:val="28"/>
                <w:szCs w:val="28"/>
                <w:highlight w:val="none"/>
              </w:rPr>
              <w:t>审小组</w:t>
            </w:r>
            <w:r>
              <w:rPr>
                <w:rStyle w:val="29"/>
                <w:rFonts w:hint="eastAsia" w:ascii="仿宋" w:hAnsi="仿宋" w:eastAsia="仿宋" w:cs="仿宋"/>
                <w:color w:val="auto"/>
                <w:sz w:val="28"/>
                <w:szCs w:val="28"/>
                <w:highlight w:val="none"/>
                <w:lang w:val="zh-CN"/>
              </w:rPr>
              <w:t>依次按照以下优先顺序推荐中标候选人或确定中标人：</w:t>
            </w:r>
          </w:p>
          <w:p>
            <w:pPr>
              <w:pStyle w:val="26"/>
              <w:keepNext w:val="0"/>
              <w:keepLines w:val="0"/>
              <w:suppressLineNumbers w:val="0"/>
              <w:shd w:val="clear" w:color="auto" w:fill="auto"/>
              <w:tabs>
                <w:tab w:val="left" w:pos="1050"/>
              </w:tabs>
              <w:spacing w:before="0" w:beforeAutospacing="0" w:after="0" w:afterAutospacing="0" w:line="240" w:lineRule="auto"/>
              <w:ind w:left="42" w:leftChars="20" w:right="42" w:rightChars="20"/>
              <w:jc w:val="both"/>
              <w:rPr>
                <w:rStyle w:val="29"/>
                <w:rFonts w:hint="default" w:ascii="仿宋" w:hAnsi="仿宋" w:eastAsia="仿宋" w:cs="仿宋"/>
                <w:color w:val="auto"/>
                <w:sz w:val="28"/>
                <w:szCs w:val="28"/>
                <w:highlight w:val="none"/>
                <w:lang w:val="zh-CN"/>
              </w:rPr>
            </w:pPr>
            <w:r>
              <w:rPr>
                <w:rStyle w:val="29"/>
                <w:rFonts w:hint="eastAsia" w:ascii="仿宋" w:hAnsi="仿宋" w:eastAsia="仿宋" w:cs="仿宋"/>
                <w:color w:val="auto"/>
                <w:sz w:val="28"/>
                <w:szCs w:val="28"/>
                <w:highlight w:val="none"/>
                <w:lang w:val="zh-CN"/>
              </w:rPr>
              <w:t>（1）评标价低的优先；</w:t>
            </w:r>
          </w:p>
          <w:p>
            <w:pPr>
              <w:pStyle w:val="26"/>
              <w:keepNext w:val="0"/>
              <w:keepLines w:val="0"/>
              <w:suppressLineNumbers w:val="0"/>
              <w:shd w:val="clear" w:color="auto" w:fill="auto"/>
              <w:tabs>
                <w:tab w:val="left" w:pos="1050"/>
              </w:tabs>
              <w:spacing w:before="0" w:beforeAutospacing="0" w:after="0" w:afterAutospacing="0" w:line="240" w:lineRule="auto"/>
              <w:ind w:left="42" w:leftChars="20" w:right="42" w:rightChars="20"/>
              <w:jc w:val="both"/>
              <w:rPr>
                <w:rStyle w:val="29"/>
                <w:rFonts w:hint="default" w:ascii="仿宋" w:hAnsi="仿宋" w:eastAsia="仿宋" w:cs="仿宋"/>
                <w:color w:val="auto"/>
                <w:sz w:val="28"/>
                <w:szCs w:val="28"/>
                <w:highlight w:val="none"/>
              </w:rPr>
            </w:pPr>
            <w:r>
              <w:rPr>
                <w:rStyle w:val="29"/>
                <w:rFonts w:hint="eastAsia" w:ascii="仿宋" w:hAnsi="仿宋" w:eastAsia="仿宋" w:cs="仿宋"/>
                <w:color w:val="auto"/>
                <w:sz w:val="28"/>
                <w:szCs w:val="28"/>
                <w:highlight w:val="none"/>
                <w:lang w:val="zh-CN"/>
              </w:rPr>
              <w:t>（2）</w:t>
            </w:r>
            <w:r>
              <w:rPr>
                <w:rStyle w:val="29"/>
                <w:rFonts w:hint="eastAsia" w:ascii="仿宋" w:hAnsi="仿宋" w:eastAsia="仿宋" w:cs="仿宋"/>
                <w:color w:val="auto"/>
                <w:sz w:val="28"/>
                <w:szCs w:val="28"/>
                <w:highlight w:val="none"/>
              </w:rPr>
              <w:t>以投标人</w:t>
            </w:r>
            <w:r>
              <w:rPr>
                <w:rStyle w:val="29"/>
                <w:rFonts w:hint="eastAsia" w:ascii="仿宋" w:hAnsi="仿宋" w:eastAsia="仿宋" w:cs="仿宋"/>
                <w:color w:val="auto"/>
                <w:sz w:val="28"/>
                <w:szCs w:val="28"/>
                <w:highlight w:val="none"/>
                <w:lang w:val="en-US" w:eastAsia="zh-CN"/>
              </w:rPr>
              <w:t>商务和技术得分</w:t>
            </w:r>
            <w:r>
              <w:rPr>
                <w:rStyle w:val="29"/>
                <w:rFonts w:hint="eastAsia" w:ascii="仿宋" w:hAnsi="仿宋" w:eastAsia="仿宋" w:cs="仿宋"/>
                <w:color w:val="auto"/>
                <w:sz w:val="28"/>
                <w:szCs w:val="28"/>
                <w:highlight w:val="none"/>
              </w:rPr>
              <w:t>较高的优先；</w:t>
            </w:r>
          </w:p>
          <w:p>
            <w:pPr>
              <w:pStyle w:val="26"/>
              <w:keepNext w:val="0"/>
              <w:keepLines w:val="0"/>
              <w:suppressLineNumbers w:val="0"/>
              <w:shd w:val="clear" w:color="auto" w:fill="auto"/>
              <w:tabs>
                <w:tab w:val="left" w:pos="1087"/>
              </w:tabs>
              <w:spacing w:before="0" w:beforeAutospacing="0" w:after="0" w:afterAutospacing="0" w:line="240" w:lineRule="auto"/>
              <w:ind w:left="42" w:leftChars="20" w:right="42" w:rightChars="20"/>
              <w:jc w:val="both"/>
              <w:rPr>
                <w:rFonts w:hint="default" w:ascii="仿宋" w:hAnsi="仿宋" w:eastAsia="仿宋" w:cs="仿宋"/>
                <w:color w:val="auto"/>
                <w:sz w:val="28"/>
                <w:szCs w:val="28"/>
                <w:highlight w:val="none"/>
              </w:rPr>
            </w:pPr>
            <w:r>
              <w:rPr>
                <w:rStyle w:val="29"/>
                <w:rFonts w:hint="eastAsia" w:ascii="仿宋" w:hAnsi="仿宋" w:eastAsia="仿宋" w:cs="仿宋"/>
                <w:color w:val="auto"/>
                <w:sz w:val="28"/>
                <w:szCs w:val="28"/>
                <w:highlight w:val="none"/>
                <w:lang w:val="zh-CN"/>
              </w:rPr>
              <w:t>（</w:t>
            </w:r>
            <w:r>
              <w:rPr>
                <w:rStyle w:val="29"/>
                <w:rFonts w:hint="eastAsia" w:ascii="仿宋" w:hAnsi="仿宋" w:eastAsia="仿宋" w:cs="仿宋"/>
                <w:color w:val="auto"/>
                <w:sz w:val="28"/>
                <w:szCs w:val="28"/>
                <w:highlight w:val="none"/>
              </w:rPr>
              <w:t>3</w:t>
            </w:r>
            <w:r>
              <w:rPr>
                <w:rStyle w:val="29"/>
                <w:rFonts w:hint="eastAsia" w:ascii="仿宋" w:hAnsi="仿宋" w:eastAsia="仿宋" w:cs="仿宋"/>
                <w:color w:val="auto"/>
                <w:sz w:val="28"/>
                <w:szCs w:val="28"/>
                <w:highlight w:val="none"/>
                <w:lang w:val="zh-CN"/>
              </w:rPr>
              <w:t>）评</w:t>
            </w:r>
            <w:r>
              <w:rPr>
                <w:rStyle w:val="29"/>
                <w:rFonts w:hint="eastAsia" w:ascii="仿宋" w:hAnsi="仿宋" w:eastAsia="仿宋" w:cs="仿宋"/>
                <w:color w:val="auto"/>
                <w:sz w:val="28"/>
                <w:szCs w:val="28"/>
                <w:highlight w:val="none"/>
              </w:rPr>
              <w:t>审小组</w:t>
            </w:r>
            <w:r>
              <w:rPr>
                <w:rStyle w:val="29"/>
                <w:rFonts w:hint="eastAsia" w:ascii="仿宋" w:hAnsi="仿宋" w:eastAsia="仿宋" w:cs="仿宋"/>
                <w:color w:val="auto"/>
                <w:sz w:val="28"/>
                <w:szCs w:val="28"/>
                <w:highlight w:val="none"/>
                <w:lang w:val="zh-CN"/>
              </w:rPr>
              <w:t>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2" w:hRule="exact"/>
        </w:trPr>
        <w:tc>
          <w:tcPr>
            <w:tcW w:w="911" w:type="dxa"/>
            <w:shd w:val="clear" w:color="auto" w:fill="FFFFFF"/>
            <w:vAlign w:val="center"/>
          </w:tcPr>
          <w:p>
            <w:pPr>
              <w:pStyle w:val="26"/>
              <w:keepNext w:val="0"/>
              <w:keepLines w:val="0"/>
              <w:suppressLineNumbers w:val="0"/>
              <w:shd w:val="clear" w:color="auto" w:fill="auto"/>
              <w:spacing w:before="0" w:beforeAutospacing="0" w:after="0" w:afterAutospacing="0" w:line="240" w:lineRule="auto"/>
              <w:ind w:left="42" w:leftChars="20" w:right="42" w:rightChars="20"/>
              <w:jc w:val="center"/>
              <w:rPr>
                <w:rFonts w:hint="default" w:ascii="仿宋" w:hAnsi="仿宋" w:eastAsia="仿宋" w:cs="仿宋"/>
                <w:color w:val="auto"/>
                <w:sz w:val="28"/>
                <w:szCs w:val="28"/>
                <w:highlight w:val="none"/>
              </w:rPr>
            </w:pPr>
            <w:r>
              <w:rPr>
                <w:rStyle w:val="30"/>
                <w:rFonts w:hint="eastAsia" w:ascii="仿宋" w:hAnsi="仿宋" w:eastAsia="仿宋" w:cs="仿宋"/>
                <w:b w:val="0"/>
                <w:color w:val="auto"/>
                <w:sz w:val="28"/>
                <w:szCs w:val="28"/>
                <w:highlight w:val="none"/>
              </w:rPr>
              <w:t>4.4.2</w:t>
            </w:r>
          </w:p>
        </w:tc>
        <w:tc>
          <w:tcPr>
            <w:tcW w:w="1131" w:type="dxa"/>
            <w:shd w:val="clear" w:color="auto" w:fill="FFFFFF"/>
            <w:vAlign w:val="center"/>
          </w:tcPr>
          <w:p>
            <w:pPr>
              <w:pStyle w:val="26"/>
              <w:keepNext w:val="0"/>
              <w:keepLines w:val="0"/>
              <w:suppressLineNumbers w:val="0"/>
              <w:shd w:val="clear" w:color="auto" w:fill="auto"/>
              <w:spacing w:before="0" w:beforeAutospacing="0" w:after="0" w:afterAutospacing="0" w:line="240" w:lineRule="auto"/>
              <w:ind w:left="42" w:leftChars="20" w:right="42" w:rightChars="20"/>
              <w:jc w:val="both"/>
              <w:rPr>
                <w:rFonts w:hint="default" w:ascii="仿宋" w:hAnsi="仿宋" w:eastAsia="仿宋" w:cs="仿宋"/>
                <w:color w:val="auto"/>
                <w:sz w:val="28"/>
                <w:szCs w:val="28"/>
                <w:highlight w:val="none"/>
              </w:rPr>
            </w:pPr>
            <w:r>
              <w:rPr>
                <w:rStyle w:val="28"/>
                <w:rFonts w:hint="eastAsia" w:ascii="仿宋" w:hAnsi="仿宋" w:eastAsia="仿宋" w:cs="仿宋"/>
                <w:color w:val="auto"/>
                <w:sz w:val="28"/>
                <w:szCs w:val="28"/>
                <w:highlight w:val="none"/>
                <w:lang w:val="zh-CN"/>
              </w:rPr>
              <w:t>分值构成 (总分</w:t>
            </w:r>
            <w:r>
              <w:rPr>
                <w:rStyle w:val="30"/>
                <w:rFonts w:hint="eastAsia" w:ascii="仿宋" w:hAnsi="仿宋" w:eastAsia="仿宋" w:cs="仿宋"/>
                <w:b w:val="0"/>
                <w:color w:val="auto"/>
                <w:sz w:val="28"/>
                <w:szCs w:val="28"/>
                <w:highlight w:val="none"/>
                <w:lang w:val="zh-CN"/>
              </w:rPr>
              <w:t>100</w:t>
            </w:r>
          </w:p>
          <w:p>
            <w:pPr>
              <w:pStyle w:val="26"/>
              <w:keepNext w:val="0"/>
              <w:keepLines w:val="0"/>
              <w:suppressLineNumbers w:val="0"/>
              <w:shd w:val="clear" w:color="auto" w:fill="auto"/>
              <w:spacing w:before="0" w:beforeAutospacing="0" w:after="0" w:afterAutospacing="0" w:line="240" w:lineRule="auto"/>
              <w:ind w:left="42" w:leftChars="20" w:right="42" w:rightChars="20"/>
              <w:jc w:val="both"/>
              <w:rPr>
                <w:rFonts w:hint="default" w:ascii="仿宋" w:hAnsi="仿宋" w:eastAsia="仿宋" w:cs="仿宋"/>
                <w:color w:val="auto"/>
                <w:sz w:val="28"/>
                <w:szCs w:val="28"/>
                <w:highlight w:val="none"/>
              </w:rPr>
            </w:pPr>
            <w:r>
              <w:rPr>
                <w:rStyle w:val="28"/>
                <w:rFonts w:hint="eastAsia" w:ascii="仿宋" w:hAnsi="仿宋" w:eastAsia="仿宋" w:cs="仿宋"/>
                <w:color w:val="auto"/>
                <w:sz w:val="28"/>
                <w:szCs w:val="28"/>
                <w:highlight w:val="none"/>
                <w:lang w:val="zh-CN"/>
              </w:rPr>
              <w:t>分）</w:t>
            </w:r>
          </w:p>
        </w:tc>
        <w:tc>
          <w:tcPr>
            <w:tcW w:w="7172" w:type="dxa"/>
            <w:shd w:val="clear" w:color="auto" w:fill="FFFFFF"/>
            <w:vAlign w:val="center"/>
          </w:tcPr>
          <w:p>
            <w:pPr>
              <w:pStyle w:val="2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42" w:leftChars="20" w:right="42" w:rightChars="20"/>
              <w:jc w:val="both"/>
              <w:textAlignment w:val="auto"/>
              <w:rPr>
                <w:rFonts w:hint="default"/>
                <w:color w:val="auto"/>
                <w:sz w:val="28"/>
                <w:szCs w:val="28"/>
                <w:highlight w:val="none"/>
              </w:rPr>
            </w:pPr>
            <w:r>
              <w:rPr>
                <w:rStyle w:val="30"/>
                <w:rFonts w:hint="eastAsia" w:ascii="仿宋" w:hAnsi="仿宋" w:eastAsia="仿宋" w:cs="仿宋"/>
                <w:b w:val="0"/>
                <w:color w:val="auto"/>
                <w:sz w:val="28"/>
                <w:szCs w:val="28"/>
                <w:highlight w:val="none"/>
                <w:lang w:val="zh-CN"/>
              </w:rPr>
              <w:t>商务及技术文件评分分值构成：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42" w:rightChars="20"/>
              <w:textAlignment w:val="auto"/>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主要人员 (A)：</w:t>
            </w:r>
            <w:r>
              <w:rPr>
                <w:rFonts w:hint="eastAsia" w:ascii="仿宋" w:hAnsi="仿宋" w:eastAsia="仿宋" w:cs="仿宋"/>
                <w:color w:val="auto"/>
                <w:sz w:val="28"/>
                <w:szCs w:val="28"/>
                <w:highlight w:val="none"/>
                <w:u w:val="single"/>
              </w:rPr>
              <w:t xml:space="preserve"> 1</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firstLine="560" w:firstLineChars="200"/>
              <w:textAlignment w:val="auto"/>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项目负责人任职资格：</w:t>
            </w:r>
            <w:r>
              <w:rPr>
                <w:rFonts w:hint="eastAsia" w:ascii="仿宋" w:hAnsi="仿宋" w:eastAsia="仿宋" w:cs="仿宋"/>
                <w:color w:val="auto"/>
                <w:sz w:val="28"/>
                <w:szCs w:val="28"/>
                <w:highlight w:val="none"/>
                <w:u w:val="single"/>
              </w:rPr>
              <w:t xml:space="preserve">5 </w:t>
            </w:r>
            <w:r>
              <w:rPr>
                <w:rFonts w:hint="eastAsia" w:ascii="仿宋" w:hAnsi="仿宋" w:eastAsia="仿宋" w:cs="仿宋"/>
                <w:color w:val="auto"/>
                <w:sz w:val="28"/>
                <w:szCs w:val="28"/>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firstLine="560" w:firstLineChars="200"/>
              <w:textAlignment w:val="auto"/>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项目团队人员任职资格与业绩：</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textAlignment w:val="auto"/>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其他因素 (B)：</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分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firstLine="560" w:firstLineChars="200"/>
              <w:textAlignment w:val="auto"/>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业    绩：</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firstLine="560" w:firstLineChars="200"/>
              <w:textAlignment w:val="auto"/>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奖    项：</w:t>
            </w:r>
            <w:r>
              <w:rPr>
                <w:rFonts w:hint="eastAsia" w:ascii="仿宋" w:hAnsi="仿宋" w:eastAsia="仿宋" w:cs="仿宋"/>
                <w:color w:val="auto"/>
                <w:sz w:val="28"/>
                <w:szCs w:val="28"/>
                <w:highlight w:val="none"/>
                <w:u w:val="single"/>
              </w:rPr>
              <w:t xml:space="preserve"> 5 </w:t>
            </w:r>
            <w:r>
              <w:rPr>
                <w:rFonts w:hint="eastAsia" w:ascii="仿宋" w:hAnsi="仿宋" w:eastAsia="仿宋" w:cs="仿宋"/>
                <w:color w:val="auto"/>
                <w:sz w:val="28"/>
                <w:szCs w:val="28"/>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42" w:leftChars="20" w:right="42" w:rightChars="20"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服务方案：</w:t>
            </w:r>
            <w:r>
              <w:rPr>
                <w:rFonts w:hint="eastAsia" w:ascii="仿宋" w:hAnsi="仿宋" w:eastAsia="仿宋" w:cs="仿宋"/>
                <w:color w:val="auto"/>
                <w:kern w:val="0"/>
                <w:sz w:val="28"/>
                <w:szCs w:val="28"/>
                <w:highlight w:val="none"/>
                <w:u w:val="single"/>
              </w:rPr>
              <w:t>15</w:t>
            </w:r>
            <w:r>
              <w:rPr>
                <w:rFonts w:hint="eastAsia" w:ascii="仿宋" w:hAnsi="仿宋" w:eastAsia="仿宋" w:cs="仿宋"/>
                <w:color w:val="auto"/>
                <w:kern w:val="0"/>
                <w:sz w:val="28"/>
                <w:szCs w:val="28"/>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42" w:rightChars="2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（3）报价评分分值构成：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42" w:rightChars="20"/>
              <w:textAlignment w:val="auto"/>
              <w:rPr>
                <w:rFonts w:hint="default"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 xml:space="preserve">   评标价（C）：</w:t>
            </w:r>
            <w:r>
              <w:rPr>
                <w:rFonts w:hint="eastAsia" w:ascii="仿宋" w:hAnsi="仿宋" w:eastAsia="仿宋" w:cs="仿宋"/>
                <w:color w:val="auto"/>
                <w:kern w:val="0"/>
                <w:sz w:val="28"/>
                <w:szCs w:val="28"/>
                <w:highlight w:val="none"/>
                <w:u w:val="single"/>
                <w:lang w:val="en-US" w:eastAsia="zh-CN"/>
              </w:rPr>
              <w:t>60</w:t>
            </w:r>
            <w:r>
              <w:rPr>
                <w:rFonts w:hint="eastAsia" w:ascii="仿宋" w:hAnsi="仿宋" w:eastAsia="仿宋" w:cs="仿宋"/>
                <w:color w:val="auto"/>
                <w:kern w:val="0"/>
                <w:sz w:val="28"/>
                <w:szCs w:val="28"/>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9" w:hRule="exact"/>
        </w:trPr>
        <w:tc>
          <w:tcPr>
            <w:tcW w:w="911" w:type="dxa"/>
            <w:shd w:val="clear" w:color="auto" w:fill="FFFFFF"/>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pacing w:val="20"/>
                <w:sz w:val="28"/>
                <w:szCs w:val="28"/>
                <w:highlight w:val="none"/>
              </w:rPr>
            </w:pPr>
            <w:r>
              <w:rPr>
                <w:rFonts w:hint="eastAsia" w:ascii="仿宋" w:hAnsi="仿宋" w:eastAsia="仿宋" w:cs="仿宋"/>
                <w:color w:val="auto"/>
                <w:sz w:val="28"/>
                <w:szCs w:val="28"/>
                <w:highlight w:val="none"/>
              </w:rPr>
              <w:t>4.4.3</w:t>
            </w:r>
          </w:p>
        </w:tc>
        <w:tc>
          <w:tcPr>
            <w:tcW w:w="1131" w:type="dxa"/>
            <w:shd w:val="clear" w:color="auto" w:fill="FFFFFF"/>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pacing w:val="20"/>
                <w:sz w:val="28"/>
                <w:szCs w:val="28"/>
                <w:highlight w:val="none"/>
              </w:rPr>
            </w:pPr>
            <w:r>
              <w:rPr>
                <w:rFonts w:hint="eastAsia" w:ascii="仿宋" w:hAnsi="仿宋" w:eastAsia="仿宋" w:cs="仿宋"/>
                <w:color w:val="auto"/>
                <w:sz w:val="28"/>
                <w:szCs w:val="28"/>
                <w:highlight w:val="none"/>
              </w:rPr>
              <w:t>评标基准价计算方法</w:t>
            </w:r>
          </w:p>
        </w:tc>
        <w:tc>
          <w:tcPr>
            <w:tcW w:w="7172"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42" w:rightChars="20"/>
              <w:textAlignment w:val="auto"/>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评标基准价的计算：</w:t>
            </w:r>
          </w:p>
          <w:p>
            <w:pPr>
              <w:pStyle w:val="2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40" w:lineRule="exact"/>
              <w:ind w:left="42" w:leftChars="20" w:right="42" w:rightChars="20"/>
              <w:jc w:val="left"/>
              <w:textAlignment w:val="auto"/>
              <w:rPr>
                <w:rFonts w:hint="default" w:ascii="仿宋" w:hAnsi="仿宋" w:eastAsia="仿宋" w:cs="仿宋"/>
                <w:color w:val="auto"/>
                <w:sz w:val="28"/>
                <w:szCs w:val="28"/>
                <w:highlight w:val="none"/>
                <w:lang w:val="zh-CN"/>
              </w:rPr>
            </w:pPr>
            <w:r>
              <w:rPr>
                <w:rStyle w:val="28"/>
                <w:rFonts w:hint="eastAsia" w:ascii="仿宋" w:hAnsi="仿宋" w:eastAsia="仿宋" w:cs="仿宋"/>
                <w:color w:val="auto"/>
                <w:sz w:val="28"/>
                <w:szCs w:val="28"/>
                <w:highlight w:val="none"/>
                <w:lang w:val="zh-CN"/>
              </w:rPr>
              <w:t>在开标现场，招标人将当场计算并宣布评标基准价。</w:t>
            </w:r>
          </w:p>
          <w:p>
            <w:pPr>
              <w:pStyle w:val="26"/>
              <w:keepNext w:val="0"/>
              <w:keepLines w:val="0"/>
              <w:pageBreakBefore w:val="0"/>
              <w:widowControl w:val="0"/>
              <w:suppressLineNumbers w:val="0"/>
              <w:shd w:val="clear" w:color="auto" w:fill="auto"/>
              <w:tabs>
                <w:tab w:val="left" w:pos="413"/>
              </w:tabs>
              <w:kinsoku/>
              <w:wordWrap/>
              <w:overflowPunct/>
              <w:topLinePunct w:val="0"/>
              <w:autoSpaceDE/>
              <w:autoSpaceDN/>
              <w:bidi w:val="0"/>
              <w:adjustRightInd/>
              <w:snapToGrid/>
              <w:spacing w:before="0" w:beforeAutospacing="0" w:after="0" w:afterAutospacing="0" w:line="440" w:lineRule="exact"/>
              <w:ind w:left="0" w:right="42" w:rightChars="20"/>
              <w:jc w:val="both"/>
              <w:textAlignment w:val="auto"/>
              <w:rPr>
                <w:rFonts w:hint="default"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(1)</w:t>
            </w:r>
            <w:r>
              <w:rPr>
                <w:rStyle w:val="28"/>
                <w:rFonts w:hint="eastAsia" w:ascii="仿宋" w:hAnsi="仿宋" w:eastAsia="仿宋" w:cs="仿宋"/>
                <w:color w:val="auto"/>
                <w:sz w:val="28"/>
                <w:szCs w:val="28"/>
                <w:highlight w:val="none"/>
                <w:lang w:val="zh-CN"/>
              </w:rPr>
              <w:t>评标价的确定：</w:t>
            </w:r>
          </w:p>
          <w:p>
            <w:pPr>
              <w:pStyle w:val="26"/>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440" w:lineRule="exact"/>
              <w:ind w:left="42" w:leftChars="20" w:right="42" w:rightChars="20" w:firstLine="560" w:firstLineChars="200"/>
              <w:jc w:val="left"/>
              <w:textAlignment w:val="auto"/>
              <w:rPr>
                <w:rStyle w:val="28"/>
                <w:rFonts w:hint="default" w:ascii="仿宋" w:hAnsi="仿宋" w:eastAsia="仿宋" w:cs="仿宋"/>
                <w:color w:val="auto"/>
                <w:sz w:val="28"/>
                <w:szCs w:val="28"/>
                <w:highlight w:val="none"/>
              </w:rPr>
            </w:pPr>
            <w:r>
              <w:rPr>
                <w:rStyle w:val="28"/>
                <w:rFonts w:hint="eastAsia" w:ascii="仿宋" w:hAnsi="仿宋" w:eastAsia="仿宋" w:cs="仿宋"/>
                <w:color w:val="auto"/>
                <w:sz w:val="28"/>
                <w:szCs w:val="28"/>
                <w:highlight w:val="none"/>
                <w:lang w:val="zh-CN"/>
              </w:rPr>
              <w:t>评标价=投标函文字报价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42" w:rightChars="20"/>
              <w:textAlignment w:val="auto"/>
              <w:rPr>
                <w:rFonts w:hint="default" w:ascii="仿宋" w:hAnsi="仿宋" w:eastAsia="仿宋" w:cs="仿宋"/>
                <w:snapToGrid w:val="0"/>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)评标基准价的计算：满足招标文件要求且</w:t>
            </w:r>
            <w:r>
              <w:rPr>
                <w:rFonts w:hint="eastAsia" w:ascii="仿宋" w:hAnsi="仿宋" w:eastAsia="仿宋" w:cs="仿宋"/>
                <w:color w:val="auto"/>
                <w:sz w:val="28"/>
                <w:szCs w:val="28"/>
                <w:highlight w:val="none"/>
                <w:lang w:val="en-US" w:eastAsia="zh-CN"/>
              </w:rPr>
              <w:t>报价折扣率数值</w:t>
            </w:r>
            <w:r>
              <w:rPr>
                <w:rFonts w:hint="eastAsia" w:ascii="仿宋" w:hAnsi="仿宋" w:eastAsia="仿宋" w:cs="仿宋"/>
                <w:color w:val="auto"/>
                <w:sz w:val="28"/>
                <w:szCs w:val="28"/>
                <w:highlight w:val="none"/>
              </w:rPr>
              <w:t>最</w:t>
            </w:r>
            <w:r>
              <w:rPr>
                <w:rFonts w:hint="eastAsia" w:ascii="仿宋" w:hAnsi="仿宋" w:eastAsia="仿宋" w:cs="仿宋"/>
                <w:color w:val="auto"/>
                <w:sz w:val="28"/>
                <w:szCs w:val="28"/>
                <w:highlight w:val="none"/>
                <w:lang w:val="en-US" w:eastAsia="zh-CN"/>
              </w:rPr>
              <w:t>小</w:t>
            </w:r>
            <w:r>
              <w:rPr>
                <w:rFonts w:hint="eastAsia" w:ascii="仿宋" w:hAnsi="仿宋" w:eastAsia="仿宋" w:cs="仿宋"/>
                <w:color w:val="auto"/>
                <w:sz w:val="28"/>
                <w:szCs w:val="28"/>
                <w:highlight w:val="none"/>
              </w:rPr>
              <w:t>的报价</w:t>
            </w:r>
            <w:r>
              <w:rPr>
                <w:rFonts w:hint="eastAsia" w:ascii="仿宋" w:hAnsi="仿宋" w:eastAsia="仿宋" w:cs="仿宋"/>
                <w:color w:val="auto"/>
                <w:sz w:val="28"/>
                <w:szCs w:val="28"/>
                <w:highlight w:val="none"/>
                <w:lang w:val="en-US" w:eastAsia="zh-CN"/>
              </w:rPr>
              <w:t>折扣率</w:t>
            </w:r>
            <w:r>
              <w:rPr>
                <w:rFonts w:hint="eastAsia" w:ascii="仿宋" w:hAnsi="仿宋" w:eastAsia="仿宋" w:cs="仿宋"/>
                <w:color w:val="auto"/>
                <w:sz w:val="28"/>
                <w:szCs w:val="28"/>
                <w:highlight w:val="none"/>
              </w:rPr>
              <w:t>为评</w:t>
            </w:r>
            <w:r>
              <w:rPr>
                <w:rFonts w:hint="eastAsia" w:ascii="仿宋" w:hAnsi="仿宋" w:eastAsia="仿宋" w:cs="仿宋"/>
                <w:color w:val="auto"/>
                <w:sz w:val="28"/>
                <w:szCs w:val="28"/>
                <w:highlight w:val="none"/>
                <w:lang w:val="en-US" w:eastAsia="zh-CN"/>
              </w:rPr>
              <w:t>标</w:t>
            </w:r>
            <w:r>
              <w:rPr>
                <w:rFonts w:hint="eastAsia" w:ascii="仿宋" w:hAnsi="仿宋" w:eastAsia="仿宋" w:cs="仿宋"/>
                <w:color w:val="auto"/>
                <w:sz w:val="28"/>
                <w:szCs w:val="28"/>
                <w:highlight w:val="none"/>
              </w:rPr>
              <w:t>基准价</w:t>
            </w:r>
            <w:r>
              <w:rPr>
                <w:rFonts w:hint="eastAsia" w:ascii="仿宋" w:hAnsi="仿宋" w:eastAsia="仿宋" w:cs="仿宋"/>
                <w:color w:val="auto"/>
                <w:sz w:val="28"/>
                <w:szCs w:val="28"/>
                <w:highlight w:val="none"/>
                <w:lang w:eastAsia="zh-CN"/>
              </w:rPr>
              <w:t>。</w:t>
            </w:r>
          </w:p>
        </w:tc>
      </w:tr>
    </w:tbl>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p>
      <w:pPr>
        <w:pStyle w:val="24"/>
        <w:rPr>
          <w:rFonts w:hint="eastAsia" w:ascii="仿宋_GB2312" w:hAnsi="仿宋_GB2312" w:eastAsia="仿宋_GB2312" w:cs="仿宋_GB2312"/>
          <w:b/>
          <w:bCs/>
          <w:color w:val="auto"/>
          <w:spacing w:val="0"/>
          <w:kern w:val="2"/>
          <w:sz w:val="28"/>
          <w:szCs w:val="28"/>
          <w:highlight w:val="none"/>
        </w:rPr>
      </w:pPr>
    </w:p>
    <w:tbl>
      <w:tblPr>
        <w:tblStyle w:val="18"/>
        <w:tblpPr w:leftFromText="180" w:rightFromText="180" w:vertAnchor="text" w:horzAnchor="page" w:tblpX="1440" w:tblpY="1568"/>
        <w:tblOverlap w:val="never"/>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26"/>
        <w:gridCol w:w="727"/>
        <w:gridCol w:w="1212"/>
        <w:gridCol w:w="1080"/>
        <w:gridCol w:w="888"/>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817" w:type="dxa"/>
            <w:gridSpan w:val="6"/>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评分因素与权重分值</w:t>
            </w:r>
          </w:p>
        </w:tc>
        <w:tc>
          <w:tcPr>
            <w:tcW w:w="3793" w:type="dxa"/>
            <w:vMerge w:val="restart"/>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4"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条款号</w:t>
            </w:r>
          </w:p>
        </w:tc>
        <w:tc>
          <w:tcPr>
            <w:tcW w:w="1453" w:type="dxa"/>
            <w:gridSpan w:val="2"/>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评分因素</w:t>
            </w:r>
          </w:p>
        </w:tc>
        <w:tc>
          <w:tcPr>
            <w:tcW w:w="1212"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评分因素权重分值</w:t>
            </w:r>
          </w:p>
        </w:tc>
        <w:tc>
          <w:tcPr>
            <w:tcW w:w="1080"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各评分因素细分项</w:t>
            </w:r>
          </w:p>
        </w:tc>
        <w:tc>
          <w:tcPr>
            <w:tcW w:w="888"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分值</w:t>
            </w:r>
          </w:p>
        </w:tc>
        <w:tc>
          <w:tcPr>
            <w:tcW w:w="3793" w:type="dxa"/>
            <w:vMerge w:val="continue"/>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vAlign w:val="center"/>
          </w:tcPr>
          <w:p>
            <w:pPr>
              <w:keepNext w:val="0"/>
              <w:keepLines w:val="0"/>
              <w:suppressLineNumbers w:val="0"/>
              <w:spacing w:before="0" w:beforeAutospacing="0" w:after="0" w:afterAutospacing="0"/>
              <w:ind w:left="42" w:leftChars="20" w:right="42" w:rightChars="2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en-US" w:eastAsia="zh-CN"/>
              </w:rPr>
              <w:t>4</w:t>
            </w:r>
          </w:p>
        </w:tc>
        <w:tc>
          <w:tcPr>
            <w:tcW w:w="1453" w:type="dxa"/>
            <w:gridSpan w:val="2"/>
            <w:vMerge w:val="restart"/>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主要人员</w:t>
            </w:r>
          </w:p>
        </w:tc>
        <w:tc>
          <w:tcPr>
            <w:tcW w:w="1212" w:type="dxa"/>
            <w:vMerge w:val="restart"/>
            <w:vAlign w:val="center"/>
          </w:tcPr>
          <w:p>
            <w:pPr>
              <w:keepNext w:val="0"/>
              <w:keepLines w:val="0"/>
              <w:suppressLineNumbers w:val="0"/>
              <w:spacing w:before="0" w:beforeAutospacing="0" w:after="0" w:afterAutospacing="0"/>
              <w:ind w:left="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w:t>
            </w:r>
          </w:p>
        </w:tc>
        <w:tc>
          <w:tcPr>
            <w:tcW w:w="1080" w:type="dxa"/>
            <w:vAlign w:val="center"/>
          </w:tcPr>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项目负责人任职资格</w:t>
            </w:r>
          </w:p>
        </w:tc>
        <w:tc>
          <w:tcPr>
            <w:tcW w:w="888" w:type="dxa"/>
            <w:vAlign w:val="center"/>
          </w:tcPr>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5分</w:t>
            </w:r>
          </w:p>
        </w:tc>
        <w:tc>
          <w:tcPr>
            <w:tcW w:w="3793" w:type="dxa"/>
            <w:vAlign w:val="center"/>
          </w:tcPr>
          <w:p>
            <w:pPr>
              <w:keepNext w:val="0"/>
              <w:keepLines w:val="0"/>
              <w:pageBreakBefore w:val="0"/>
              <w:widowControl w:val="0"/>
              <w:numPr>
                <w:ilvl w:val="0"/>
                <w:numId w:val="6"/>
              </w:numPr>
              <w:suppressLineNumbers w:val="0"/>
              <w:kinsoku/>
              <w:wordWrap/>
              <w:overflowPunct/>
              <w:topLinePunct w:val="0"/>
              <w:bidi w:val="0"/>
              <w:spacing w:before="0" w:beforeAutospacing="0" w:after="0" w:afterAutospacing="0" w:line="240" w:lineRule="auto"/>
              <w:ind w:left="42" w:leftChars="20" w:right="42" w:rightChars="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学历为大专的，得1分；为本科及以上的，得2分。</w:t>
            </w:r>
          </w:p>
          <w:p>
            <w:pPr>
              <w:keepNext w:val="0"/>
              <w:keepLines w:val="0"/>
              <w:pageBreakBefore w:val="0"/>
              <w:widowControl w:val="0"/>
              <w:numPr>
                <w:ilvl w:val="0"/>
                <w:numId w:val="6"/>
              </w:numPr>
              <w:suppressLineNumbers w:val="0"/>
              <w:kinsoku/>
              <w:wordWrap/>
              <w:overflowPunct/>
              <w:topLinePunct w:val="0"/>
              <w:bidi w:val="0"/>
              <w:spacing w:before="0" w:beforeAutospacing="0" w:after="0" w:afterAutospacing="0" w:line="240" w:lineRule="auto"/>
              <w:ind w:left="42" w:leftChars="20" w:right="42" w:rightChars="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具备</w:t>
            </w:r>
            <w:r>
              <w:rPr>
                <w:rFonts w:hint="eastAsia" w:ascii="仿宋" w:hAnsi="仿宋" w:eastAsia="仿宋" w:cs="仿宋"/>
                <w:color w:val="auto"/>
                <w:sz w:val="28"/>
                <w:szCs w:val="28"/>
                <w:highlight w:val="none"/>
                <w:lang w:val="en-US" w:eastAsia="zh-CN"/>
              </w:rPr>
              <w:t>建筑工程相关专业中级职称/</w:t>
            </w:r>
            <w:r>
              <w:rPr>
                <w:rFonts w:hint="eastAsia" w:ascii="仿宋" w:hAnsi="仿宋" w:eastAsia="仿宋" w:cs="仿宋"/>
                <w:color w:val="auto"/>
                <w:sz w:val="28"/>
                <w:szCs w:val="28"/>
                <w:highlight w:val="none"/>
              </w:rPr>
              <w:t>经济师中级职称/</w:t>
            </w:r>
            <w:r>
              <w:rPr>
                <w:rFonts w:hint="eastAsia" w:ascii="仿宋" w:hAnsi="仿宋" w:eastAsia="仿宋" w:cs="仿宋"/>
                <w:color w:val="auto"/>
                <w:sz w:val="28"/>
                <w:szCs w:val="28"/>
                <w:highlight w:val="none"/>
                <w:lang w:val="en-US" w:eastAsia="zh-CN"/>
              </w:rPr>
              <w:t>二级造价师/</w:t>
            </w:r>
            <w:r>
              <w:rPr>
                <w:rFonts w:hint="eastAsia" w:ascii="仿宋" w:hAnsi="仿宋" w:eastAsia="仿宋" w:cs="仿宋"/>
                <w:color w:val="auto"/>
                <w:sz w:val="28"/>
                <w:szCs w:val="28"/>
                <w:highlight w:val="none"/>
              </w:rPr>
              <w:t>中级招采人员能力评价证书的，得</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分；具备</w:t>
            </w:r>
            <w:r>
              <w:rPr>
                <w:rFonts w:hint="eastAsia" w:ascii="仿宋" w:hAnsi="仿宋" w:eastAsia="仿宋" w:cs="仿宋"/>
                <w:color w:val="auto"/>
                <w:sz w:val="28"/>
                <w:szCs w:val="28"/>
                <w:highlight w:val="none"/>
                <w:lang w:val="en-US" w:eastAsia="zh-CN"/>
              </w:rPr>
              <w:t>建筑工程相关专业高级职称/</w:t>
            </w:r>
            <w:r>
              <w:rPr>
                <w:rFonts w:hint="eastAsia" w:ascii="仿宋" w:hAnsi="仿宋" w:eastAsia="仿宋" w:cs="仿宋"/>
                <w:color w:val="auto"/>
                <w:sz w:val="28"/>
                <w:szCs w:val="28"/>
                <w:highlight w:val="none"/>
              </w:rPr>
              <w:t>高级经济师职称/高级招采人员能力评价证书的，得</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分。其余情况不得分，本小项最高为</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p>
            <w:pPr>
              <w:keepNext w:val="0"/>
              <w:keepLines w:val="0"/>
              <w:pageBreakBefore w:val="0"/>
              <w:widowControl w:val="0"/>
              <w:suppressLineNumbers w:val="0"/>
              <w:kinsoku/>
              <w:wordWrap/>
              <w:overflowPunct/>
              <w:topLinePunct w:val="0"/>
              <w:bidi w:val="0"/>
              <w:spacing w:before="0" w:beforeAutospacing="0" w:after="0" w:afterAutospacing="0" w:line="240" w:lineRule="auto"/>
              <w:ind w:left="42" w:leftChars="20" w:right="42" w:rightChars="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项目负责人</w:t>
            </w:r>
            <w:r>
              <w:rPr>
                <w:rFonts w:hint="eastAsia" w:ascii="仿宋" w:hAnsi="仿宋" w:eastAsia="仿宋" w:cs="仿宋"/>
                <w:color w:val="auto"/>
                <w:sz w:val="28"/>
                <w:szCs w:val="28"/>
                <w:highlight w:val="none"/>
              </w:rPr>
              <w:t>的身份证、学历证书、职称证书、资格证书等证明材料及</w:t>
            </w:r>
            <w:r>
              <w:rPr>
                <w:rFonts w:hint="eastAsia" w:ascii="仿宋" w:hAnsi="仿宋" w:eastAsia="仿宋" w:cs="仿宋"/>
                <w:color w:val="auto"/>
                <w:sz w:val="28"/>
                <w:szCs w:val="28"/>
                <w:highlight w:val="none"/>
                <w:lang w:val="en-US" w:eastAsia="zh-CN"/>
              </w:rPr>
              <w:t>加盖政府部门公章的</w:t>
            </w:r>
            <w:r>
              <w:rPr>
                <w:rFonts w:hint="eastAsia" w:ascii="仿宋" w:hAnsi="仿宋" w:eastAsia="仿宋" w:cs="仿宋"/>
                <w:color w:val="auto"/>
                <w:sz w:val="28"/>
                <w:szCs w:val="28"/>
                <w:highlight w:val="none"/>
              </w:rPr>
              <w:t>社保</w:t>
            </w:r>
            <w:r>
              <w:rPr>
                <w:rFonts w:hint="eastAsia" w:ascii="仿宋" w:hAnsi="仿宋" w:eastAsia="仿宋" w:cs="仿宋"/>
                <w:color w:val="auto"/>
                <w:sz w:val="28"/>
                <w:szCs w:val="28"/>
                <w:highlight w:val="none"/>
                <w:lang w:val="en-US" w:eastAsia="zh-CN"/>
              </w:rPr>
              <w:t>证明（以招标代理机构缴纳社保的时间为准，工作经验计算时间截止到招标文件发出之日）</w:t>
            </w:r>
            <w:r>
              <w:rPr>
                <w:rFonts w:hint="eastAsia" w:ascii="仿宋" w:hAnsi="仿宋" w:eastAsia="仿宋" w:cs="仿宋"/>
                <w:color w:val="auto"/>
                <w:sz w:val="28"/>
                <w:szCs w:val="28"/>
                <w:highlight w:val="none"/>
              </w:rPr>
              <w:t>。</w:t>
            </w:r>
          </w:p>
          <w:p>
            <w:pPr>
              <w:pStyle w:val="23"/>
              <w:keepNext w:val="0"/>
              <w:keepLines w:val="0"/>
              <w:pageBreakBefore w:val="0"/>
              <w:widowControl w:val="0"/>
              <w:suppressLineNumbers w:val="0"/>
              <w:kinsoku/>
              <w:wordWrap/>
              <w:overflowPunct/>
              <w:topLinePunct w:val="0"/>
              <w:bidi w:val="0"/>
              <w:spacing w:before="0" w:beforeAutospacing="0" w:after="0" w:afterAutospacing="0" w:line="240" w:lineRule="auto"/>
              <w:ind w:left="0" w:right="0"/>
              <w:textAlignment w:val="auto"/>
              <w:rPr>
                <w:rFonts w:hint="default" w:eastAsia="仿宋"/>
                <w:color w:val="auto"/>
                <w:highlight w:val="none"/>
                <w:lang w:val="en-US" w:eastAsia="zh-CN"/>
              </w:rPr>
            </w:pPr>
            <w:r>
              <w:rPr>
                <w:rFonts w:hint="eastAsia" w:ascii="仿宋" w:hAnsi="仿宋" w:eastAsia="仿宋" w:cs="仿宋"/>
                <w:color w:val="auto"/>
                <w:sz w:val="28"/>
                <w:szCs w:val="28"/>
                <w:highlight w:val="none"/>
                <w:lang w:val="en-US" w:eastAsia="zh-CN"/>
              </w:rPr>
              <w:t>2、招采人员能力评价为以中国招标投标协会发出为准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84" w:type="dxa"/>
            <w:vMerge w:val="continue"/>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c>
          <w:tcPr>
            <w:tcW w:w="1453" w:type="dxa"/>
            <w:gridSpan w:val="2"/>
            <w:vMerge w:val="continue"/>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c>
          <w:tcPr>
            <w:tcW w:w="1212" w:type="dxa"/>
            <w:vMerge w:val="continue"/>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c>
          <w:tcPr>
            <w:tcW w:w="1080" w:type="dxa"/>
            <w:vAlign w:val="center"/>
          </w:tcPr>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项目团队人员任职资格与业绩</w:t>
            </w:r>
          </w:p>
        </w:tc>
        <w:tc>
          <w:tcPr>
            <w:tcW w:w="888" w:type="dxa"/>
            <w:vAlign w:val="center"/>
          </w:tcPr>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分</w:t>
            </w:r>
          </w:p>
        </w:tc>
        <w:tc>
          <w:tcPr>
            <w:tcW w:w="3793" w:type="dxa"/>
            <w:vAlign w:val="center"/>
          </w:tcPr>
          <w:p>
            <w:pPr>
              <w:keepNext w:val="0"/>
              <w:keepLines w:val="0"/>
              <w:suppressLineNumbers w:val="0"/>
              <w:spacing w:before="0" w:beforeAutospacing="0" w:after="0" w:afterAutospacing="0"/>
              <w:ind w:left="0" w:right="42" w:right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项目团队人员（含团队负责人）至少须有</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人，学历均为大专以上，在这基础上，每多配备一名</w:t>
            </w:r>
            <w:r>
              <w:rPr>
                <w:rFonts w:hint="eastAsia" w:ascii="仿宋" w:hAnsi="仿宋" w:eastAsia="仿宋" w:cs="仿宋"/>
                <w:color w:val="auto"/>
                <w:sz w:val="28"/>
                <w:szCs w:val="28"/>
                <w:highlight w:val="none"/>
                <w:lang w:val="en-US" w:eastAsia="zh-CN"/>
              </w:rPr>
              <w:t>建筑工程相关专业中级职称/</w:t>
            </w:r>
            <w:r>
              <w:rPr>
                <w:rFonts w:hint="eastAsia" w:ascii="仿宋" w:hAnsi="仿宋" w:eastAsia="仿宋" w:cs="仿宋"/>
                <w:color w:val="auto"/>
                <w:sz w:val="28"/>
                <w:szCs w:val="28"/>
                <w:highlight w:val="none"/>
              </w:rPr>
              <w:t>经济师中级职称/</w:t>
            </w:r>
            <w:r>
              <w:rPr>
                <w:rFonts w:hint="eastAsia" w:ascii="仿宋" w:hAnsi="仿宋" w:eastAsia="仿宋" w:cs="仿宋"/>
                <w:color w:val="auto"/>
                <w:sz w:val="28"/>
                <w:szCs w:val="28"/>
                <w:highlight w:val="none"/>
                <w:lang w:val="en-US" w:eastAsia="zh-CN"/>
              </w:rPr>
              <w:t>二级造价师/</w:t>
            </w:r>
            <w:r>
              <w:rPr>
                <w:rFonts w:hint="eastAsia" w:ascii="仿宋" w:hAnsi="仿宋" w:eastAsia="仿宋" w:cs="仿宋"/>
                <w:color w:val="auto"/>
                <w:sz w:val="28"/>
                <w:szCs w:val="28"/>
                <w:highlight w:val="none"/>
              </w:rPr>
              <w:t>中级招采人员能力评价证书或以上的，加</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分，本小项满分为</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p>
            <w:pPr>
              <w:keepNext w:val="0"/>
              <w:keepLines w:val="0"/>
              <w:suppressLineNumbers w:val="0"/>
              <w:spacing w:before="0" w:beforeAutospacing="0" w:after="0" w:afterAutospacing="0"/>
              <w:ind w:left="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提供的人员不满足上述要求的不得分，提供上述人员的身份证、学历证书、职称证书、资格证书等证明材料及近六个月【指从招标公告发布当月（不含招标公告发布当月）往前顺推的连续六个月】的</w:t>
            </w:r>
            <w:r>
              <w:rPr>
                <w:rFonts w:hint="eastAsia" w:ascii="仿宋" w:hAnsi="仿宋" w:eastAsia="仿宋" w:cs="仿宋"/>
                <w:color w:val="auto"/>
                <w:sz w:val="28"/>
                <w:szCs w:val="28"/>
                <w:highlight w:val="none"/>
                <w:lang w:val="en-US" w:eastAsia="zh-CN"/>
              </w:rPr>
              <w:t>加盖政府部门公章的</w:t>
            </w:r>
            <w:r>
              <w:rPr>
                <w:rFonts w:hint="eastAsia" w:ascii="仿宋" w:hAnsi="仿宋" w:eastAsia="仿宋" w:cs="仿宋"/>
                <w:color w:val="auto"/>
                <w:sz w:val="28"/>
                <w:szCs w:val="28"/>
                <w:highlight w:val="none"/>
              </w:rPr>
              <w:t>社保</w:t>
            </w:r>
            <w:r>
              <w:rPr>
                <w:rFonts w:hint="eastAsia" w:ascii="仿宋" w:hAnsi="仿宋" w:eastAsia="仿宋" w:cs="仿宋"/>
                <w:color w:val="auto"/>
                <w:sz w:val="28"/>
                <w:szCs w:val="28"/>
                <w:highlight w:val="none"/>
                <w:lang w:val="en-US" w:eastAsia="zh-CN"/>
              </w:rPr>
              <w:t>证明</w:t>
            </w:r>
            <w:r>
              <w:rPr>
                <w:rFonts w:hint="eastAsia" w:ascii="仿宋" w:hAnsi="仿宋" w:eastAsia="仿宋" w:cs="仿宋"/>
                <w:color w:val="auto"/>
                <w:sz w:val="28"/>
                <w:szCs w:val="28"/>
                <w:highlight w:val="none"/>
              </w:rPr>
              <w:t>（退休人员则可提供职工退休证及返聘合同等证明材料的复印件或彩色扫描件并加盖公章，否则不得分）。</w:t>
            </w:r>
            <w:r>
              <w:rPr>
                <w:rFonts w:hint="eastAsia" w:ascii="仿宋" w:hAnsi="仿宋" w:eastAsia="仿宋" w:cs="仿宋"/>
                <w:color w:val="auto"/>
                <w:sz w:val="28"/>
                <w:szCs w:val="28"/>
                <w:highlight w:val="none"/>
                <w:lang w:val="en-US" w:eastAsia="zh-CN"/>
              </w:rPr>
              <w:t>2、招采人员能力评价为以中国招标投标协会发出为准。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vMerge w:val="restart"/>
            <w:vAlign w:val="center"/>
          </w:tcPr>
          <w:p>
            <w:pPr>
              <w:keepNext w:val="0"/>
              <w:keepLines w:val="0"/>
              <w:suppressLineNumbers w:val="0"/>
              <w:spacing w:before="0" w:beforeAutospacing="0" w:after="0" w:afterAutospacing="0"/>
              <w:ind w:left="42" w:leftChars="20" w:right="42" w:rightChars="20"/>
              <w:jc w:val="center"/>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en-US" w:eastAsia="zh-CN"/>
              </w:rPr>
              <w:t>5</w:t>
            </w:r>
          </w:p>
        </w:tc>
        <w:tc>
          <w:tcPr>
            <w:tcW w:w="726" w:type="dxa"/>
            <w:vMerge w:val="restart"/>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其他因素</w:t>
            </w:r>
          </w:p>
        </w:tc>
        <w:tc>
          <w:tcPr>
            <w:tcW w:w="727"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业绩</w:t>
            </w:r>
          </w:p>
        </w:tc>
        <w:tc>
          <w:tcPr>
            <w:tcW w:w="1212" w:type="dxa"/>
            <w:vAlign w:val="center"/>
          </w:tcPr>
          <w:p>
            <w:pPr>
              <w:keepNext w:val="0"/>
              <w:keepLines w:val="0"/>
              <w:suppressLineNumbers w:val="0"/>
              <w:spacing w:before="0" w:beforeAutospacing="0" w:after="0" w:afterAutospacing="0"/>
              <w:ind w:left="0" w:right="42" w:rightChars="20" w:firstLine="280" w:firstLineChars="100"/>
              <w:rPr>
                <w:rFonts w:hint="default"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分</w:t>
            </w:r>
          </w:p>
        </w:tc>
        <w:tc>
          <w:tcPr>
            <w:tcW w:w="5761" w:type="dxa"/>
            <w:gridSpan w:val="3"/>
            <w:vAlign w:val="center"/>
          </w:tcPr>
          <w:p>
            <w:pPr>
              <w:pStyle w:val="23"/>
              <w:keepNext w:val="0"/>
              <w:keepLines w:val="0"/>
              <w:suppressLineNumbers w:val="0"/>
              <w:autoSpaceDE/>
              <w:autoSpaceDN/>
              <w:spacing w:before="0" w:beforeAutospacing="0" w:after="0" w:afterAutospacing="0" w:line="240" w:lineRule="auto"/>
              <w:ind w:left="0" w:right="0" w:firstLine="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2021年</w:t>
            </w:r>
            <w:r>
              <w:rPr>
                <w:rFonts w:hint="eastAsia" w:ascii="仿宋" w:hAnsi="仿宋" w:eastAsia="仿宋" w:cs="仿宋"/>
                <w:color w:val="auto"/>
                <w:sz w:val="28"/>
                <w:szCs w:val="28"/>
                <w:highlight w:val="none"/>
                <w:lang w:val="en-US" w:eastAsia="zh-CN"/>
              </w:rPr>
              <w:t>1月1日</w:t>
            </w:r>
            <w:r>
              <w:rPr>
                <w:rFonts w:hint="eastAsia" w:ascii="仿宋" w:hAnsi="仿宋" w:eastAsia="仿宋" w:cs="仿宋"/>
                <w:color w:val="auto"/>
                <w:sz w:val="28"/>
                <w:szCs w:val="28"/>
                <w:highlight w:val="none"/>
              </w:rPr>
              <w:t>至今承接过加油站建设相关的招标代理服务项目，相关的招标代理服务项目是指与“加油站建设工程”相关的工程建设、投资运营服务及设备等招标项目，合同标的加油站规划用地面积须不低于3000平方米或建筑面积不低于1000平方米。每个项目得5分，本项最高得</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p>
            <w:pPr>
              <w:pStyle w:val="23"/>
              <w:keepNext w:val="0"/>
              <w:keepLines w:val="0"/>
              <w:suppressLineNumbers w:val="0"/>
              <w:autoSpaceDE/>
              <w:autoSpaceDN/>
              <w:spacing w:before="0" w:beforeAutospacing="0" w:after="0" w:afterAutospacing="0" w:line="240" w:lineRule="auto"/>
              <w:ind w:left="0" w:right="0" w:firstLine="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注：提供招标代理合同和中标通知书的扫描件或复印件加盖公章为评审依据，以中标通知书发出时间为准，如招标代理合同和中标通知书不足以体现项目规模的，须提供其他相关证明材料的扫描件或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vMerge w:val="continue"/>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c>
          <w:tcPr>
            <w:tcW w:w="726" w:type="dxa"/>
            <w:vMerge w:val="continue"/>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c>
          <w:tcPr>
            <w:tcW w:w="727"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奖项</w:t>
            </w:r>
          </w:p>
        </w:tc>
        <w:tc>
          <w:tcPr>
            <w:tcW w:w="1212"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5分</w:t>
            </w:r>
          </w:p>
        </w:tc>
        <w:tc>
          <w:tcPr>
            <w:tcW w:w="5761" w:type="dxa"/>
            <w:gridSpan w:val="3"/>
            <w:vAlign w:val="center"/>
          </w:tcPr>
          <w:p>
            <w:pPr>
              <w:keepNext w:val="0"/>
              <w:keepLines w:val="0"/>
              <w:suppressLineNumbers w:val="0"/>
              <w:spacing w:before="0" w:beforeAutospacing="0" w:after="0" w:afterAutospacing="0"/>
              <w:ind w:left="42" w:leftChars="20" w:right="42" w:rightChars="2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2019年</w:t>
            </w:r>
            <w:r>
              <w:rPr>
                <w:rFonts w:hint="eastAsia" w:ascii="仿宋" w:hAnsi="仿宋" w:eastAsia="仿宋" w:cs="仿宋"/>
                <w:color w:val="auto"/>
                <w:sz w:val="28"/>
                <w:szCs w:val="28"/>
                <w:highlight w:val="none"/>
                <w:lang w:val="en-US" w:eastAsia="zh-CN"/>
              </w:rPr>
              <w:t>1月1日</w:t>
            </w:r>
            <w:r>
              <w:rPr>
                <w:rFonts w:hint="eastAsia" w:ascii="仿宋" w:hAnsi="仿宋" w:eastAsia="仿宋" w:cs="仿宋"/>
                <w:color w:val="auto"/>
                <w:sz w:val="28"/>
                <w:szCs w:val="28"/>
                <w:highlight w:val="none"/>
              </w:rPr>
              <w:t>至今（以颁发时间为准）投标人获得相关荣誉、信用证书/奖项的，按如下情况得分：地市级政府部门/行业协会（联合会）颁发的，每个得1分；省厅级政府部门/行业协会（联合会）颁发的，每个得2分；国家级政府部门/行业协会（联合会）颁发的，每个得3分。</w:t>
            </w:r>
          </w:p>
          <w:p>
            <w:pPr>
              <w:keepNext w:val="0"/>
              <w:keepLines w:val="0"/>
              <w:suppressLineNumbers w:val="0"/>
              <w:spacing w:before="0" w:beforeAutospacing="0" w:after="0" w:afterAutospacing="0"/>
              <w:ind w:left="42" w:leftChars="20" w:right="42" w:rightChars="2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注：1、上述相关荣誉奖项可累计计算得分，但累计最高不得超过5分。投标人须提供相关证明材料扫描件/复印件加盖公章。</w:t>
            </w:r>
          </w:p>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2、相关荣誉奖项如为行业协会（联合会）颁发的，需提供该行业协会（联合会）在“全国社会组织信用信息公示平台”的备案查询截图，否则不得分。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vMerge w:val="continue"/>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c>
          <w:tcPr>
            <w:tcW w:w="726" w:type="dxa"/>
            <w:vMerge w:val="continue"/>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p>
        </w:tc>
        <w:tc>
          <w:tcPr>
            <w:tcW w:w="727"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服务方案</w:t>
            </w:r>
          </w:p>
        </w:tc>
        <w:tc>
          <w:tcPr>
            <w:tcW w:w="1212" w:type="dxa"/>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15分</w:t>
            </w:r>
          </w:p>
        </w:tc>
        <w:tc>
          <w:tcPr>
            <w:tcW w:w="5761" w:type="dxa"/>
            <w:gridSpan w:val="3"/>
            <w:vAlign w:val="center"/>
          </w:tcPr>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1.重点难点分析：考察投标人重点难点分析及稽查工作功能（包含但不限于：潜在投标人之间的管理关系、股权关系；投标人文件内容的雷同性；投标人文件的报价规律性等）的科学合理、可行性，明确、恰当、针对性强得（4，5]分；较合理、可行、针对性一般得（2，4]分；欠合理，可行性较差，基本满足需要得（1，2]分，未提供得0分。</w:t>
            </w:r>
          </w:p>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2.充分理解采购人和国有企业招标采购管理的特点，以提高招标采购质量和效益为目标，包括但不限于在优化管理方法、提高招标成功率、培训支持、管理咨询、增值服务等方面提出针对性的合理化建议和明晰有效的具体方案举措。优（4，5]分、良（2，4]分、一般（1，2]分，未提供得0分。</w:t>
            </w:r>
          </w:p>
          <w:p>
            <w:pPr>
              <w:keepNext w:val="0"/>
              <w:keepLines w:val="0"/>
              <w:suppressLineNumbers w:val="0"/>
              <w:spacing w:before="0" w:beforeAutospacing="0" w:after="0" w:afterAutospacing="0"/>
              <w:ind w:left="42" w:leftChars="20" w:right="42" w:rightChars="20"/>
              <w:rPr>
                <w:rFonts w:hint="default"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3.考察保密措施的合理、可行性，全面、可行、针对性强得（4，5]分；较合理、可行、针对性一般得（2，4]分；欠合理，可行性较差，基本满足需要得（1，2]分；无服务承诺，未提供得0分。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Align w:val="center"/>
          </w:tcPr>
          <w:p>
            <w:pPr>
              <w:keepNext w:val="0"/>
              <w:keepLines w:val="0"/>
              <w:suppressLineNumbers w:val="0"/>
              <w:spacing w:before="0" w:beforeAutospacing="0" w:after="0" w:afterAutospacing="0"/>
              <w:ind w:left="42" w:leftChars="20" w:right="42" w:rightChars="2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en-US" w:eastAsia="zh-CN"/>
              </w:rPr>
              <w:t>6</w:t>
            </w:r>
          </w:p>
        </w:tc>
        <w:tc>
          <w:tcPr>
            <w:tcW w:w="1453" w:type="dxa"/>
            <w:gridSpan w:val="2"/>
            <w:vAlign w:val="center"/>
          </w:tcPr>
          <w:p>
            <w:pPr>
              <w:keepNext w:val="0"/>
              <w:keepLines w:val="0"/>
              <w:suppressLineNumbers w:val="0"/>
              <w:spacing w:before="0" w:beforeAutospacing="0" w:after="0" w:afterAutospacing="0"/>
              <w:ind w:left="42" w:leftChars="20" w:right="42" w:rightChars="2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评标价</w:t>
            </w:r>
          </w:p>
        </w:tc>
        <w:tc>
          <w:tcPr>
            <w:tcW w:w="1212" w:type="dxa"/>
            <w:vAlign w:val="center"/>
          </w:tcPr>
          <w:p>
            <w:pPr>
              <w:keepNext w:val="0"/>
              <w:keepLines w:val="0"/>
              <w:suppressLineNumbers w:val="0"/>
              <w:spacing w:before="0" w:beforeAutospacing="0" w:after="0" w:afterAutospacing="0"/>
              <w:ind w:left="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60 </w:t>
            </w:r>
            <w:r>
              <w:rPr>
                <w:rFonts w:hint="eastAsia" w:ascii="仿宋" w:hAnsi="仿宋" w:eastAsia="仿宋" w:cs="仿宋"/>
                <w:color w:val="auto"/>
                <w:sz w:val="28"/>
                <w:szCs w:val="28"/>
                <w:highlight w:val="none"/>
              </w:rPr>
              <w:t>分</w:t>
            </w:r>
          </w:p>
        </w:tc>
        <w:tc>
          <w:tcPr>
            <w:tcW w:w="5761" w:type="dxa"/>
            <w:gridSpan w:val="3"/>
          </w:tcPr>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评标价得分计算公式示例：</w:t>
            </w:r>
          </w:p>
          <w:p>
            <w:pPr>
              <w:keepNext w:val="0"/>
              <w:keepLines w:val="0"/>
              <w:suppressLineNumbers w:val="0"/>
              <w:spacing w:before="0" w:beforeAutospacing="0" w:after="0" w:afterAutospacing="0"/>
              <w:ind w:left="42" w:leftChars="20" w:right="42" w:rightChars="2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价格得分＝</w:t>
            </w:r>
            <w:r>
              <w:rPr>
                <w:rFonts w:hint="eastAsia" w:ascii="仿宋" w:hAnsi="仿宋" w:eastAsia="仿宋" w:cs="仿宋"/>
                <w:bCs/>
                <w:color w:val="auto"/>
                <w:sz w:val="28"/>
                <w:szCs w:val="28"/>
                <w:highlight w:val="none"/>
                <w:lang w:eastAsia="zh-CN"/>
              </w:rPr>
              <w:t>（</w:t>
            </w:r>
            <w:r>
              <w:rPr>
                <w:rFonts w:hint="eastAsia" w:ascii="仿宋" w:hAnsi="仿宋" w:eastAsia="仿宋" w:cs="仿宋"/>
                <w:color w:val="auto"/>
                <w:kern w:val="0"/>
                <w:sz w:val="28"/>
                <w:szCs w:val="28"/>
                <w:highlight w:val="none"/>
              </w:rPr>
              <w:t>评</w:t>
            </w:r>
            <w:r>
              <w:rPr>
                <w:rFonts w:hint="eastAsia" w:ascii="仿宋" w:hAnsi="仿宋" w:eastAsia="仿宋" w:cs="仿宋"/>
                <w:color w:val="auto"/>
                <w:kern w:val="0"/>
                <w:sz w:val="28"/>
                <w:szCs w:val="28"/>
                <w:highlight w:val="none"/>
                <w:lang w:val="en-US" w:eastAsia="zh-CN"/>
              </w:rPr>
              <w:t>标</w:t>
            </w:r>
            <w:r>
              <w:rPr>
                <w:rFonts w:hint="eastAsia" w:ascii="仿宋" w:hAnsi="仿宋" w:eastAsia="仿宋" w:cs="仿宋"/>
                <w:bCs/>
                <w:color w:val="auto"/>
                <w:sz w:val="28"/>
                <w:szCs w:val="28"/>
                <w:highlight w:val="none"/>
              </w:rPr>
              <w:t>基准价</w:t>
            </w:r>
            <w:r>
              <w:rPr>
                <w:rFonts w:hint="eastAsia" w:ascii="仿宋" w:hAnsi="仿宋" w:eastAsia="仿宋" w:cs="仿宋"/>
                <w:bCs/>
                <w:color w:val="auto"/>
                <w:sz w:val="28"/>
                <w:szCs w:val="28"/>
                <w:highlight w:val="none"/>
                <w:lang w:val="zh-CN"/>
              </w:rPr>
              <w:t>/</w:t>
            </w:r>
            <w:r>
              <w:rPr>
                <w:rFonts w:hint="eastAsia" w:ascii="仿宋" w:hAnsi="仿宋" w:eastAsia="仿宋" w:cs="仿宋"/>
                <w:bCs/>
                <w:color w:val="auto"/>
                <w:sz w:val="28"/>
                <w:szCs w:val="28"/>
                <w:highlight w:val="none"/>
              </w:rPr>
              <w:t>投标</w:t>
            </w:r>
            <w:r>
              <w:rPr>
                <w:rFonts w:hint="eastAsia" w:ascii="仿宋" w:hAnsi="仿宋" w:eastAsia="仿宋" w:cs="仿宋"/>
                <w:bCs/>
                <w:color w:val="auto"/>
                <w:sz w:val="28"/>
                <w:szCs w:val="28"/>
                <w:highlight w:val="none"/>
                <w:lang w:val="en-US" w:eastAsia="zh-CN"/>
              </w:rPr>
              <w:t>报价折扣率</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60（价格分值）</w:t>
            </w:r>
          </w:p>
          <w:p>
            <w:pPr>
              <w:keepNext w:val="0"/>
              <w:keepLines w:val="0"/>
              <w:suppressLineNumbers w:val="0"/>
              <w:spacing w:before="0" w:beforeAutospacing="0" w:after="0" w:afterAutospacing="0"/>
              <w:ind w:left="42" w:leftChars="20" w:right="42" w:rightChars="2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注：评标价得分四舍五入至小数点后</w:t>
            </w:r>
            <w:r>
              <w:rPr>
                <w:rFonts w:hint="eastAsia" w:ascii="仿宋" w:hAnsi="仿宋" w:eastAsia="仿宋" w:cs="仿宋"/>
                <w:color w:val="auto"/>
                <w:sz w:val="28"/>
                <w:szCs w:val="28"/>
                <w:highlight w:val="none"/>
                <w:lang w:val="en-US" w:eastAsia="zh-CN"/>
              </w:rPr>
              <w:t>两</w:t>
            </w:r>
            <w:r>
              <w:rPr>
                <w:rFonts w:hint="eastAsia" w:ascii="仿宋" w:hAnsi="仿宋" w:eastAsia="仿宋" w:cs="仿宋"/>
                <w:color w:val="auto"/>
                <w:sz w:val="28"/>
                <w:szCs w:val="28"/>
                <w:highlight w:val="none"/>
              </w:rPr>
              <w:t>位。</w:t>
            </w:r>
          </w:p>
        </w:tc>
      </w:tr>
    </w:tbl>
    <w:p>
      <w:pPr>
        <w:pStyle w:val="24"/>
        <w:ind w:firstLine="560"/>
        <w:rPr>
          <w:color w:val="auto"/>
          <w:sz w:val="28"/>
          <w:szCs w:val="28"/>
          <w:highlight w:val="none"/>
        </w:rPr>
      </w:pPr>
    </w:p>
    <w:p>
      <w:pPr>
        <w:pStyle w:val="24"/>
        <w:ind w:firstLine="560"/>
        <w:rPr>
          <w:rFonts w:ascii="仿宋" w:hAnsi="仿宋" w:eastAsia="仿宋" w:cs="仿宋"/>
          <w:color w:val="auto"/>
          <w:sz w:val="28"/>
          <w:szCs w:val="28"/>
          <w:highlight w:val="none"/>
        </w:rPr>
      </w:pPr>
    </w:p>
    <w:p>
      <w:pPr>
        <w:adjustRightInd w:val="0"/>
        <w:snapToGrid w:val="0"/>
        <w:spacing w:line="360" w:lineRule="auto"/>
        <w:ind w:firstLine="560" w:firstLineChars="200"/>
        <w:rPr>
          <w:rFonts w:ascii="仿宋_GB2312" w:hAnsi="仿宋_GB2312" w:eastAsia="仿宋_GB2312" w:cs="仿宋_GB2312"/>
          <w:bCs/>
          <w:color w:val="auto"/>
          <w:sz w:val="28"/>
          <w:szCs w:val="28"/>
          <w:highlight w:val="none"/>
        </w:rPr>
      </w:pPr>
      <w:r>
        <w:rPr>
          <w:rFonts w:hint="eastAsia" w:ascii="仿宋" w:hAnsi="仿宋" w:eastAsia="仿宋" w:cs="仿宋"/>
          <w:bCs/>
          <w:color w:val="auto"/>
          <w:sz w:val="28"/>
          <w:szCs w:val="28"/>
          <w:highlight w:val="none"/>
        </w:rPr>
        <w:t>注：投标人的商务技术分得分为按本表“各评分因素细分项”各评审专家评分合计的算术平均值，保留至小数点后两位，第三位四舍五入。</w:t>
      </w:r>
    </w:p>
    <w:p>
      <w:pPr>
        <w:adjustRightInd w:val="0"/>
        <w:snapToGrid w:val="0"/>
        <w:spacing w:line="360" w:lineRule="auto"/>
        <w:ind w:firstLine="562" w:firstLineChars="200"/>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5、废标</w:t>
      </w:r>
    </w:p>
    <w:p>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详见投标人须知第2</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条。</w:t>
      </w:r>
    </w:p>
    <w:p>
      <w:pPr>
        <w:adjustRightInd w:val="0"/>
        <w:snapToGrid w:val="0"/>
        <w:spacing w:line="360" w:lineRule="auto"/>
        <w:ind w:firstLine="562" w:firstLineChars="200"/>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6、推荐中标候选人的原则</w:t>
      </w:r>
    </w:p>
    <w:p>
      <w:pPr>
        <w:adjustRightInd w:val="0"/>
        <w:snapToGrid w:val="0"/>
        <w:spacing w:line="360" w:lineRule="auto"/>
        <w:ind w:firstLine="560" w:firstLineChars="200"/>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详见第一章投标人须知第2</w:t>
      </w: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条。</w:t>
      </w:r>
    </w:p>
    <w:p>
      <w:pPr>
        <w:adjustRightInd w:val="0"/>
        <w:snapToGrid w:val="0"/>
        <w:spacing w:line="360" w:lineRule="auto"/>
        <w:ind w:firstLine="562" w:firstLineChars="200"/>
        <w:rPr>
          <w:rFonts w:ascii="仿宋" w:hAnsi="仿宋" w:eastAsia="仿宋" w:cs="仿宋"/>
          <w:b/>
          <w:color w:val="auto"/>
          <w:kern w:val="0"/>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color w:val="auto"/>
          <w:kern w:val="0"/>
          <w:sz w:val="28"/>
          <w:szCs w:val="28"/>
          <w:highlight w:val="none"/>
        </w:rPr>
        <w:t>确定中标人</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评审小组根据全体评审小组成员签字的原始评审记录和评审结果编写评审报告，并向招标人提交书面评审报告。</w:t>
      </w:r>
    </w:p>
    <w:p>
      <w:pPr>
        <w:adjustRightInd w:val="0"/>
        <w:snapToGrid w:val="0"/>
        <w:spacing w:line="360" w:lineRule="auto"/>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招标人按照评审报告确定的中标候选人名单按顺序确定中标人，或由招标人委托评审小组按照第二章“投标人须知表”第3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条中规定的方式确定中标人。</w:t>
      </w:r>
    </w:p>
    <w:p>
      <w:pPr>
        <w:pStyle w:val="3"/>
        <w:adjustRightInd w:val="0"/>
        <w:snapToGrid w:val="0"/>
        <w:spacing w:before="0" w:after="0" w:line="240" w:lineRule="auto"/>
        <w:jc w:val="left"/>
        <w:rPr>
          <w:rFonts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rPr>
        <w:br w:type="page"/>
      </w:r>
      <w:r>
        <w:rPr>
          <w:rFonts w:hint="eastAsia" w:ascii="仿宋" w:hAnsi="仿宋" w:eastAsia="仿宋" w:cs="仿宋"/>
          <w:color w:val="auto"/>
          <w:sz w:val="28"/>
          <w:szCs w:val="28"/>
          <w:highlight w:val="none"/>
        </w:rPr>
        <w:t xml:space="preserve">附件1               </w:t>
      </w: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资格审查表</w:t>
      </w:r>
    </w:p>
    <w:tbl>
      <w:tblPr>
        <w:tblStyle w:val="18"/>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40"/>
        <w:gridCol w:w="3318"/>
        <w:gridCol w:w="762"/>
        <w:gridCol w:w="7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3" w:type="dxa"/>
            <w:vMerge w:val="restart"/>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340" w:type="dxa"/>
            <w:vMerge w:val="restart"/>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审查项目</w:t>
            </w:r>
          </w:p>
        </w:tc>
        <w:tc>
          <w:tcPr>
            <w:tcW w:w="3318" w:type="dxa"/>
            <w:vMerge w:val="restart"/>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审查标准</w:t>
            </w:r>
          </w:p>
        </w:tc>
        <w:tc>
          <w:tcPr>
            <w:tcW w:w="2287" w:type="dxa"/>
            <w:gridSpan w:val="3"/>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3" w:type="dxa"/>
            <w:vMerge w:val="continue"/>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2340" w:type="dxa"/>
            <w:vMerge w:val="continue"/>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3318" w:type="dxa"/>
            <w:vMerge w:val="continue"/>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340" w:type="dxa"/>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w:t>
            </w:r>
          </w:p>
        </w:tc>
        <w:tc>
          <w:tcPr>
            <w:tcW w:w="3318" w:type="dxa"/>
            <w:vAlign w:val="center"/>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与营业执照（事业单位法人证书）、资质证书等证明性证书一致</w:t>
            </w:r>
          </w:p>
        </w:tc>
        <w:tc>
          <w:tcPr>
            <w:tcW w:w="762"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340" w:type="dxa"/>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法定代表人身份证明书</w:t>
            </w:r>
          </w:p>
        </w:tc>
        <w:tc>
          <w:tcPr>
            <w:tcW w:w="3318" w:type="dxa"/>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按给定格式填写并按规定签章</w:t>
            </w: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340" w:type="dxa"/>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法定代表人授权委托书（如适用）</w:t>
            </w:r>
          </w:p>
        </w:tc>
        <w:tc>
          <w:tcPr>
            <w:tcW w:w="3318" w:type="dxa"/>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按给定格式填写并按规定签章</w:t>
            </w: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vAlign w:val="center"/>
          </w:tcPr>
          <w:p>
            <w:pPr>
              <w:keepNext w:val="0"/>
              <w:keepLines w:val="0"/>
              <w:widowControl/>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340" w:type="dxa"/>
            <w:vAlign w:val="center"/>
          </w:tcPr>
          <w:p>
            <w:pPr>
              <w:keepNext w:val="0"/>
              <w:keepLines w:val="0"/>
              <w:widowControl/>
              <w:suppressLineNumbers w:val="0"/>
              <w:snapToGrid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资格条件</w:t>
            </w:r>
          </w:p>
        </w:tc>
        <w:tc>
          <w:tcPr>
            <w:tcW w:w="3318" w:type="dxa"/>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满足“投标人须知”1.2款的要求</w:t>
            </w: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p>
        </w:tc>
        <w:tc>
          <w:tcPr>
            <w:tcW w:w="2340" w:type="dxa"/>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其它资格证明文件（如适用）</w:t>
            </w:r>
          </w:p>
        </w:tc>
        <w:tc>
          <w:tcPr>
            <w:tcW w:w="3318" w:type="dxa"/>
            <w:vAlign w:val="center"/>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按要求提供且合法有效</w:t>
            </w: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p>
        </w:tc>
        <w:tc>
          <w:tcPr>
            <w:tcW w:w="2340"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结论</w:t>
            </w:r>
          </w:p>
        </w:tc>
        <w:tc>
          <w:tcPr>
            <w:tcW w:w="3318"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2"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p>
        </w:tc>
      </w:tr>
    </w:tbl>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填表说明：1、每项内容审查合格，在表中填写“√”；不合格填写“×”</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2、审查结论填写“通过”或“不通过”</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评审小组成员签字：</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pPr>
        <w:pStyle w:val="17"/>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color w:val="auto"/>
          <w:sz w:val="28"/>
          <w:szCs w:val="28"/>
          <w:highlight w:val="none"/>
        </w:rPr>
      </w:pPr>
      <w:r>
        <w:rPr>
          <w:color w:val="auto"/>
          <w:sz w:val="28"/>
          <w:szCs w:val="28"/>
          <w:highlight w:val="none"/>
        </w:rPr>
        <w:br w:type="page"/>
      </w:r>
    </w:p>
    <w:p>
      <w:pPr>
        <w:rPr>
          <w:color w:val="auto"/>
          <w:sz w:val="28"/>
          <w:szCs w:val="28"/>
          <w:highlight w:val="none"/>
        </w:rPr>
      </w:pPr>
    </w:p>
    <w:p>
      <w:pPr>
        <w:pStyle w:val="3"/>
        <w:adjustRightInd w:val="0"/>
        <w:snapToGrid w:val="0"/>
        <w:spacing w:before="0" w:after="0"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附件2                  </w:t>
      </w: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响应性审查表</w:t>
      </w:r>
    </w:p>
    <w:tbl>
      <w:tblPr>
        <w:tblStyle w:val="18"/>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02"/>
        <w:gridCol w:w="3036"/>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2" w:type="dxa"/>
            <w:vMerge w:val="restart"/>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502" w:type="dxa"/>
            <w:vMerge w:val="restart"/>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审查项目</w:t>
            </w:r>
          </w:p>
        </w:tc>
        <w:tc>
          <w:tcPr>
            <w:tcW w:w="3036" w:type="dxa"/>
            <w:vMerge w:val="restart"/>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审查标准</w:t>
            </w:r>
          </w:p>
        </w:tc>
        <w:tc>
          <w:tcPr>
            <w:tcW w:w="2289" w:type="dxa"/>
            <w:gridSpan w:val="3"/>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2" w:type="dxa"/>
            <w:vMerge w:val="continue"/>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2502" w:type="dxa"/>
            <w:vMerge w:val="continue"/>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3036" w:type="dxa"/>
            <w:vMerge w:val="continue"/>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2502" w:type="dxa"/>
            <w:vAlign w:val="center"/>
          </w:tcPr>
          <w:p>
            <w:pPr>
              <w:keepNext w:val="0"/>
              <w:keepLines w:val="0"/>
              <w:suppressLineNumbers w:val="0"/>
              <w:spacing w:before="0" w:beforeAutospacing="0" w:after="0" w:afterAutospacing="0"/>
              <w:ind w:left="0" w:right="0"/>
              <w:rPr>
                <w:rFonts w:hint="default"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投标函</w:t>
            </w:r>
          </w:p>
        </w:tc>
        <w:tc>
          <w:tcPr>
            <w:tcW w:w="3036" w:type="dxa"/>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1.按给定格式填写</w:t>
            </w:r>
          </w:p>
          <w:p>
            <w:pPr>
              <w:keepNext w:val="0"/>
              <w:keepLines w:val="0"/>
              <w:suppressLineNumbers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2.响应招标文件实质性要求</w:t>
            </w:r>
          </w:p>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3.按规定签章</w:t>
            </w: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vAlign w:val="center"/>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2502" w:type="dxa"/>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3036" w:type="dxa"/>
            <w:vAlign w:val="center"/>
          </w:tcPr>
          <w:p>
            <w:pPr>
              <w:pStyle w:val="3"/>
              <w:suppressLineNumbers w:val="0"/>
              <w:adjustRightInd w:val="0"/>
              <w:snapToGrid w:val="0"/>
              <w:spacing w:before="0" w:beforeAutospacing="0" w:after="0" w:afterAutospacing="0" w:line="240" w:lineRule="auto"/>
              <w:ind w:left="0" w:right="0"/>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只能有一个报价且有效（没有超过最高限价）</w:t>
            </w: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2502" w:type="dxa"/>
            <w:vAlign w:val="center"/>
          </w:tcPr>
          <w:p>
            <w:pPr>
              <w:keepNext w:val="0"/>
              <w:keepLines w:val="0"/>
              <w:suppressLineNumbers w:val="0"/>
              <w:spacing w:before="0" w:beforeAutospacing="0" w:after="0" w:afterAutospacing="0"/>
              <w:ind w:left="0" w:right="0"/>
              <w:rPr>
                <w:rFonts w:hint="default"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报价一览表</w:t>
            </w:r>
          </w:p>
        </w:tc>
        <w:tc>
          <w:tcPr>
            <w:tcW w:w="3036" w:type="dxa"/>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1.按给定格式填写</w:t>
            </w:r>
          </w:p>
          <w:p>
            <w:pPr>
              <w:keepNext w:val="0"/>
              <w:keepLines w:val="0"/>
              <w:suppressLineNumbers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2.响应招标文件实质性要求</w:t>
            </w:r>
          </w:p>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3.按规定签章</w:t>
            </w: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2502"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工期（服务期、交货期）</w:t>
            </w:r>
          </w:p>
        </w:tc>
        <w:tc>
          <w:tcPr>
            <w:tcW w:w="3036" w:type="dxa"/>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满足招标文件要求</w:t>
            </w: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5</w:t>
            </w:r>
          </w:p>
        </w:tc>
        <w:tc>
          <w:tcPr>
            <w:tcW w:w="2502" w:type="dxa"/>
            <w:vAlign w:val="center"/>
          </w:tcPr>
          <w:p>
            <w:pPr>
              <w:keepNext w:val="0"/>
              <w:keepLines w:val="0"/>
              <w:suppressLineNumbers w:val="0"/>
              <w:spacing w:before="0" w:beforeAutospacing="0" w:after="0" w:afterAutospacing="0"/>
              <w:ind w:left="0" w:right="0"/>
              <w:rPr>
                <w:rFonts w:hint="default" w:ascii="仿宋" w:hAnsi="仿宋" w:eastAsia="仿宋" w:cs="仿宋"/>
                <w:b/>
                <w:color w:val="auto"/>
                <w:sz w:val="28"/>
                <w:szCs w:val="28"/>
                <w:highlight w:val="none"/>
              </w:rPr>
            </w:pPr>
            <w:r>
              <w:rPr>
                <w:rFonts w:hint="eastAsia" w:ascii="仿宋" w:hAnsi="仿宋" w:eastAsia="仿宋" w:cs="仿宋"/>
                <w:color w:val="auto"/>
                <w:kern w:val="0"/>
                <w:sz w:val="28"/>
                <w:szCs w:val="28"/>
                <w:highlight w:val="none"/>
              </w:rPr>
              <w:t>商务技术偏离表</w:t>
            </w:r>
          </w:p>
        </w:tc>
        <w:tc>
          <w:tcPr>
            <w:tcW w:w="3036" w:type="dxa"/>
          </w:tcPr>
          <w:p>
            <w:pPr>
              <w:pStyle w:val="3"/>
              <w:suppressLineNumbers w:val="0"/>
              <w:adjustRightInd w:val="0"/>
              <w:snapToGrid w:val="0"/>
              <w:spacing w:before="0" w:beforeAutospacing="0" w:after="0" w:afterAutospacing="0" w:line="240" w:lineRule="auto"/>
              <w:ind w:left="0" w:right="0"/>
              <w:jc w:val="left"/>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无招标人不能接受的</w:t>
            </w:r>
            <w:r>
              <w:rPr>
                <w:rFonts w:hint="eastAsia" w:ascii="仿宋" w:hAnsi="仿宋" w:eastAsia="仿宋" w:cs="仿宋"/>
                <w:b w:val="0"/>
                <w:color w:val="auto"/>
                <w:sz w:val="28"/>
                <w:szCs w:val="28"/>
                <w:highlight w:val="none"/>
                <w:lang w:val="en-US" w:eastAsia="zh-CN"/>
              </w:rPr>
              <w:t>负</w:t>
            </w:r>
            <w:r>
              <w:rPr>
                <w:rFonts w:hint="eastAsia" w:ascii="仿宋" w:hAnsi="仿宋" w:eastAsia="仿宋" w:cs="仿宋"/>
                <w:b w:val="0"/>
                <w:color w:val="auto"/>
                <w:sz w:val="28"/>
                <w:szCs w:val="28"/>
                <w:highlight w:val="none"/>
              </w:rPr>
              <w:t>偏差内容</w:t>
            </w: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vAlign w:val="center"/>
          </w:tcPr>
          <w:p>
            <w:pPr>
              <w:keepNext w:val="0"/>
              <w:keepLines w:val="0"/>
              <w:suppressLineNumbers w:val="0"/>
              <w:snapToGrid w:val="0"/>
              <w:spacing w:before="0" w:beforeAutospacing="0" w:after="0" w:afterAutospacing="0"/>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2502" w:type="dxa"/>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3036" w:type="dxa"/>
            <w:vAlign w:val="center"/>
          </w:tcPr>
          <w:p>
            <w:pPr>
              <w:pStyle w:val="3"/>
              <w:suppressLineNumbers w:val="0"/>
              <w:adjustRightInd w:val="0"/>
              <w:snapToGrid w:val="0"/>
              <w:spacing w:before="0" w:beforeAutospacing="0" w:after="0" w:afterAutospacing="0" w:line="240" w:lineRule="auto"/>
              <w:ind w:left="0" w:right="0"/>
              <w:rPr>
                <w:rFonts w:hint="default"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无法律法规及招标文件规定的其他废标内容</w:t>
            </w: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2"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p>
        </w:tc>
        <w:tc>
          <w:tcPr>
            <w:tcW w:w="2502"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结论</w:t>
            </w:r>
          </w:p>
        </w:tc>
        <w:tc>
          <w:tcPr>
            <w:tcW w:w="3036"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c>
          <w:tcPr>
            <w:tcW w:w="763" w:type="dxa"/>
          </w:tcPr>
          <w:p>
            <w:pPr>
              <w:pStyle w:val="3"/>
              <w:suppressLineNumbers w:val="0"/>
              <w:adjustRightInd w:val="0"/>
              <w:snapToGrid w:val="0"/>
              <w:spacing w:before="0" w:beforeAutospacing="0" w:after="0" w:afterAutospacing="0" w:line="240" w:lineRule="auto"/>
              <w:ind w:left="0" w:right="0"/>
              <w:jc w:val="center"/>
              <w:rPr>
                <w:rFonts w:hint="default" w:ascii="仿宋" w:hAnsi="仿宋" w:eastAsia="仿宋" w:cs="仿宋"/>
                <w:color w:val="auto"/>
                <w:sz w:val="28"/>
                <w:szCs w:val="28"/>
                <w:highlight w:val="none"/>
              </w:rPr>
            </w:pPr>
          </w:p>
        </w:tc>
      </w:tr>
    </w:tbl>
    <w:p>
      <w:pPr>
        <w:ind w:firstLine="560" w:firstLineChars="200"/>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填表说明：1、每项内容审查合格，在表中填写“√”；不合格填写“×”</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2、审查结论填写“通过”或“不通过”</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评审小组成员签字： </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      期： </w:t>
      </w:r>
      <w:r>
        <w:rPr>
          <w:rFonts w:hint="eastAsia" w:ascii="仿宋" w:hAnsi="仿宋" w:eastAsia="仿宋" w:cs="仿宋"/>
          <w:color w:val="auto"/>
          <w:sz w:val="28"/>
          <w:szCs w:val="28"/>
          <w:highlight w:val="none"/>
        </w:rPr>
        <w:br w:type="page"/>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pStyle w:val="2"/>
        <w:adjustRightInd w:val="0"/>
        <w:snapToGrid w:val="0"/>
        <w:spacing w:before="240" w:beforeLines="100" w:after="240" w:afterLines="100" w:line="360" w:lineRule="auto"/>
        <w:jc w:val="center"/>
        <w:rPr>
          <w:rFonts w:ascii="仿宋_GB2312" w:hAnsi="仿宋_GB2312" w:eastAsia="仿宋_GB2312" w:cs="仿宋_GB2312"/>
          <w:color w:val="auto"/>
          <w:sz w:val="36"/>
          <w:szCs w:val="36"/>
          <w:highlight w:val="none"/>
        </w:rPr>
      </w:pPr>
      <w:bookmarkStart w:id="14" w:name="_Toc19210_WPSOffice_Level1"/>
      <w:bookmarkStart w:id="15" w:name="_Toc18374"/>
      <w:bookmarkStart w:id="16" w:name="_Toc7909"/>
      <w:r>
        <w:rPr>
          <w:rFonts w:hint="eastAsia" w:ascii="仿宋_GB2312" w:hAnsi="仿宋_GB2312" w:eastAsia="仿宋_GB2312" w:cs="仿宋_GB2312"/>
          <w:color w:val="auto"/>
          <w:sz w:val="36"/>
          <w:szCs w:val="36"/>
          <w:highlight w:val="none"/>
        </w:rPr>
        <w:t>第五章 合同格式</w:t>
      </w:r>
      <w:bookmarkEnd w:id="14"/>
      <w:bookmarkEnd w:id="15"/>
      <w:bookmarkEnd w:id="16"/>
    </w:p>
    <w:p>
      <w:pPr>
        <w:wordWrap w:val="0"/>
        <w:adjustRightInd w:val="0"/>
        <w:snapToGrid w:val="0"/>
        <w:spacing w:line="360" w:lineRule="auto"/>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3"/>
        <w:adjustRightInd w:val="0"/>
        <w:snapToGrid w:val="0"/>
        <w:spacing w:line="24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wordWrap w:val="0"/>
        <w:spacing w:before="156" w:beforeLines="50" w:after="156" w:afterLines="50" w:line="360" w:lineRule="auto"/>
        <w:jc w:val="right"/>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委托编号：</w:t>
      </w:r>
      <w:r>
        <w:rPr>
          <w:rFonts w:hint="eastAsia" w:ascii="宋体" w:hAnsi="宋体"/>
          <w:b/>
          <w:bCs/>
          <w:color w:val="auto"/>
          <w:sz w:val="28"/>
          <w:szCs w:val="28"/>
          <w:highlight w:val="none"/>
          <w:lang w:val="en-US" w:eastAsia="zh-CN"/>
        </w:rPr>
        <w:t xml:space="preserve"> </w:t>
      </w:r>
    </w:p>
    <w:p>
      <w:pPr>
        <w:spacing w:before="156" w:beforeLines="50" w:after="156" w:afterLines="50" w:line="360" w:lineRule="auto"/>
        <w:jc w:val="center"/>
        <w:rPr>
          <w:rFonts w:hint="eastAsia"/>
          <w:b/>
          <w:bCs/>
          <w:color w:val="auto"/>
          <w:sz w:val="96"/>
          <w:szCs w:val="96"/>
          <w:highlight w:val="none"/>
        </w:rPr>
      </w:pPr>
    </w:p>
    <w:p>
      <w:pPr>
        <w:spacing w:before="156" w:beforeLines="50" w:after="156" w:afterLines="50" w:line="360" w:lineRule="auto"/>
        <w:jc w:val="center"/>
        <w:rPr>
          <w:rFonts w:hint="eastAsia"/>
          <w:b/>
          <w:bCs/>
          <w:color w:val="auto"/>
          <w:sz w:val="96"/>
          <w:szCs w:val="96"/>
          <w:highlight w:val="none"/>
        </w:rPr>
      </w:pPr>
      <w:r>
        <w:rPr>
          <w:rFonts w:hint="eastAsia"/>
          <w:b/>
          <w:bCs/>
          <w:color w:val="auto"/>
          <w:sz w:val="96"/>
          <w:szCs w:val="96"/>
          <w:highlight w:val="none"/>
        </w:rPr>
        <w:t>委 托 代 理 协 议</w:t>
      </w:r>
    </w:p>
    <w:p>
      <w:pPr>
        <w:rPr>
          <w:rFonts w:hint="eastAsia"/>
          <w:b/>
          <w:bCs/>
          <w:color w:val="auto"/>
          <w:sz w:val="84"/>
          <w:highlight w:val="none"/>
        </w:rPr>
      </w:pPr>
    </w:p>
    <w:p>
      <w:pPr>
        <w:pStyle w:val="23"/>
        <w:rPr>
          <w:rFonts w:hint="eastAsia"/>
          <w:b/>
          <w:bCs/>
          <w:color w:val="auto"/>
          <w:sz w:val="84"/>
          <w:highlight w:val="none"/>
        </w:rPr>
      </w:pPr>
    </w:p>
    <w:p>
      <w:pPr>
        <w:pStyle w:val="24"/>
        <w:rPr>
          <w:rFonts w:hint="eastAsia"/>
          <w:b/>
          <w:bCs/>
          <w:color w:val="auto"/>
          <w:sz w:val="84"/>
          <w:highlight w:val="none"/>
        </w:rPr>
      </w:pPr>
    </w:p>
    <w:p>
      <w:pPr>
        <w:jc w:val="center"/>
        <w:rPr>
          <w:rFonts w:hint="eastAsia" w:ascii="宋体" w:hAnsi="宋体"/>
          <w:b/>
          <w:bCs/>
          <w:color w:val="auto"/>
          <w:sz w:val="36"/>
          <w:szCs w:val="36"/>
          <w:highlight w:val="none"/>
        </w:rPr>
      </w:pPr>
    </w:p>
    <w:p>
      <w:pPr>
        <w:jc w:val="center"/>
        <w:rPr>
          <w:rFonts w:hint="eastAsia" w:ascii="宋体" w:hAnsi="宋体"/>
          <w:b/>
          <w:bCs/>
          <w:color w:val="auto"/>
          <w:sz w:val="36"/>
          <w:szCs w:val="36"/>
          <w:highlight w:val="none"/>
        </w:rPr>
      </w:pPr>
    </w:p>
    <w:p>
      <w:pPr>
        <w:jc w:val="both"/>
        <w:rPr>
          <w:rFonts w:hint="eastAsia" w:ascii="宋体" w:hAnsi="宋体" w:eastAsia="宋体"/>
          <w:b/>
          <w:bCs/>
          <w:color w:val="auto"/>
          <w:sz w:val="36"/>
          <w:szCs w:val="36"/>
          <w:highlight w:val="none"/>
          <w:lang w:eastAsia="zh-CN"/>
        </w:rPr>
      </w:pPr>
      <w:r>
        <w:rPr>
          <w:rFonts w:hint="eastAsia" w:ascii="宋体" w:hAnsi="宋体"/>
          <w:b/>
          <w:bCs/>
          <w:color w:val="auto"/>
          <w:sz w:val="36"/>
          <w:szCs w:val="36"/>
          <w:highlight w:val="none"/>
        </w:rPr>
        <w:t>采购人：</w:t>
      </w:r>
      <w:r>
        <w:rPr>
          <w:rFonts w:hint="eastAsia" w:ascii="宋体" w:hAnsi="宋体"/>
          <w:b/>
          <w:bCs/>
          <w:color w:val="auto"/>
          <w:sz w:val="36"/>
          <w:szCs w:val="36"/>
          <w:highlight w:val="none"/>
          <w:lang w:eastAsia="zh-CN"/>
        </w:rPr>
        <w:t>肇庆盈德企业管理有限公司</w:t>
      </w:r>
    </w:p>
    <w:p>
      <w:pPr>
        <w:spacing w:before="156" w:beforeLines="50" w:after="156" w:afterLines="50" w:line="360" w:lineRule="auto"/>
        <w:jc w:val="left"/>
        <w:rPr>
          <w:rFonts w:hint="eastAsia" w:ascii="宋体" w:hAnsi="宋体" w:eastAsia="宋体"/>
          <w:b/>
          <w:bCs/>
          <w:color w:val="auto"/>
          <w:sz w:val="36"/>
          <w:szCs w:val="36"/>
          <w:highlight w:val="none"/>
          <w:lang w:eastAsia="zh-CN"/>
        </w:rPr>
      </w:pPr>
      <w:r>
        <w:rPr>
          <w:rFonts w:hint="eastAsia" w:ascii="宋体" w:hAnsi="宋体"/>
          <w:b/>
          <w:bCs/>
          <w:color w:val="auto"/>
          <w:sz w:val="36"/>
          <w:szCs w:val="36"/>
          <w:highlight w:val="none"/>
        </w:rPr>
        <w:t>采购代理机构：</w:t>
      </w:r>
      <w:r>
        <w:rPr>
          <w:rFonts w:hint="eastAsia" w:ascii="宋体" w:hAnsi="宋体"/>
          <w:b/>
          <w:bCs/>
          <w:color w:val="auto"/>
          <w:sz w:val="36"/>
          <w:szCs w:val="36"/>
          <w:highlight w:val="none"/>
          <w:lang w:val="en-US" w:eastAsia="zh-CN"/>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1"/>
        <w:spacing w:before="156" w:beforeLines="50" w:after="156" w:afterLines="50" w:line="360" w:lineRule="auto"/>
        <w:ind w:left="0" w:leftChars="0"/>
        <w:jc w:val="center"/>
        <w:rPr>
          <w:rFonts w:hint="eastAsia" w:ascii="宋体" w:hAnsi="宋体"/>
          <w:b/>
          <w:bCs/>
          <w:color w:val="auto"/>
          <w:szCs w:val="36"/>
          <w:highlight w:val="none"/>
        </w:rPr>
      </w:pPr>
      <w:r>
        <w:rPr>
          <w:rFonts w:hint="eastAsia" w:ascii="宋体" w:hAnsi="宋体"/>
          <w:b/>
          <w:bCs/>
          <w:color w:val="auto"/>
          <w:szCs w:val="36"/>
          <w:highlight w:val="none"/>
        </w:rPr>
        <w:t>2023年</w:t>
      </w:r>
      <w:r>
        <w:rPr>
          <w:rFonts w:hint="eastAsia" w:ascii="宋体" w:hAnsi="宋体"/>
          <w:b/>
          <w:bCs/>
          <w:color w:val="auto"/>
          <w:szCs w:val="36"/>
          <w:highlight w:val="none"/>
          <w:lang w:val="en-US" w:eastAsia="zh-CN"/>
        </w:rPr>
        <w:t xml:space="preserve">  </w:t>
      </w:r>
      <w:r>
        <w:rPr>
          <w:rFonts w:hint="eastAsia" w:ascii="宋体" w:hAnsi="宋体"/>
          <w:b/>
          <w:bCs/>
          <w:color w:val="auto"/>
          <w:szCs w:val="36"/>
          <w:highlight w:val="none"/>
        </w:rPr>
        <w:t>月</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spacing w:line="320" w:lineRule="atLeast"/>
        <w:jc w:val="center"/>
        <w:rPr>
          <w:rFonts w:hint="eastAsia"/>
          <w:color w:val="auto"/>
          <w:kern w:val="0"/>
          <w:highlight w:val="none"/>
          <w:lang w:val="zh-CN"/>
        </w:rPr>
      </w:pPr>
      <w:r>
        <w:rPr>
          <w:rFonts w:hint="eastAsia"/>
          <w:color w:val="auto"/>
          <w:kern w:val="0"/>
          <w:highlight w:val="none"/>
          <w:lang w:val="zh-CN"/>
        </w:rPr>
        <w:t>委托代理协议书</w:t>
      </w:r>
    </w:p>
    <w:p>
      <w:pPr>
        <w:rPr>
          <w:rFonts w:hint="eastAsia"/>
          <w:color w:val="auto"/>
          <w:highlight w:val="none"/>
          <w:lang w:val="zh-CN"/>
        </w:rPr>
      </w:pPr>
    </w:p>
    <w:p>
      <w:pPr>
        <w:autoSpaceDE w:val="0"/>
        <w:autoSpaceDN w:val="0"/>
        <w:adjustRightInd w:val="0"/>
        <w:spacing w:before="156" w:beforeLines="50" w:after="156" w:afterLines="50"/>
        <w:jc w:val="left"/>
        <w:rPr>
          <w:rFonts w:hint="eastAsia" w:ascii="宋体" w:hAnsi="宋体"/>
          <w:b/>
          <w:bCs/>
          <w:color w:val="auto"/>
          <w:kern w:val="0"/>
          <w:sz w:val="24"/>
          <w:highlight w:val="none"/>
          <w:lang w:val="zh-CN"/>
        </w:rPr>
      </w:pPr>
      <w:r>
        <w:rPr>
          <w:rFonts w:hint="eastAsia" w:ascii="宋体" w:hAnsi="宋体"/>
          <w:b/>
          <w:bCs/>
          <w:color w:val="auto"/>
          <w:kern w:val="0"/>
          <w:sz w:val="24"/>
          <w:highlight w:val="none"/>
          <w:lang w:val="zh-CN"/>
        </w:rPr>
        <w:t>甲方(委托单位)：肇庆盈德企业管理有限公司</w:t>
      </w:r>
    </w:p>
    <w:p>
      <w:pPr>
        <w:autoSpaceDE w:val="0"/>
        <w:autoSpaceDN w:val="0"/>
        <w:adjustRightInd w:val="0"/>
        <w:spacing w:before="156" w:beforeLines="50" w:after="156" w:afterLines="50"/>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地址: 肇庆市端州区端州一路34号(加油站站房)二楼201室</w:t>
      </w:r>
    </w:p>
    <w:p>
      <w:pPr>
        <w:autoSpaceDE w:val="0"/>
        <w:autoSpaceDN w:val="0"/>
        <w:adjustRightInd w:val="0"/>
        <w:spacing w:before="156" w:beforeLines="50" w:after="156" w:afterLines="50"/>
        <w:jc w:val="left"/>
        <w:rPr>
          <w:rFonts w:hint="eastAsia" w:ascii="宋体" w:hAnsi="宋体"/>
          <w:b/>
          <w:bCs/>
          <w:color w:val="auto"/>
          <w:kern w:val="0"/>
          <w:sz w:val="24"/>
          <w:highlight w:val="none"/>
          <w:lang w:val="zh-CN"/>
        </w:rPr>
      </w:pPr>
      <w:r>
        <w:rPr>
          <w:rFonts w:hint="eastAsia" w:ascii="宋体" w:hAnsi="宋体"/>
          <w:color w:val="auto"/>
          <w:kern w:val="0"/>
          <w:sz w:val="24"/>
          <w:highlight w:val="none"/>
          <w:lang w:val="zh-CN"/>
        </w:rPr>
        <w:t>电话:0758-22</w:t>
      </w:r>
      <w:r>
        <w:rPr>
          <w:rFonts w:hint="eastAsia" w:ascii="宋体" w:hAnsi="宋体"/>
          <w:color w:val="auto"/>
          <w:kern w:val="0"/>
          <w:sz w:val="24"/>
          <w:highlight w:val="none"/>
          <w:lang w:val="en-US" w:eastAsia="zh-CN"/>
        </w:rPr>
        <w:t>44202</w:t>
      </w:r>
      <w:r>
        <w:rPr>
          <w:rFonts w:hint="eastAsia" w:ascii="宋体" w:hAnsi="宋体"/>
          <w:color w:val="auto"/>
          <w:kern w:val="0"/>
          <w:sz w:val="24"/>
          <w:highlight w:val="none"/>
          <w:lang w:val="zh-CN"/>
        </w:rPr>
        <w:t xml:space="preserve">       </w:t>
      </w:r>
    </w:p>
    <w:p>
      <w:pPr>
        <w:autoSpaceDE w:val="0"/>
        <w:autoSpaceDN w:val="0"/>
        <w:adjustRightInd w:val="0"/>
        <w:spacing w:before="156" w:beforeLines="50" w:after="156" w:afterLines="50"/>
        <w:jc w:val="left"/>
        <w:rPr>
          <w:rFonts w:hint="eastAsia" w:ascii="宋体" w:hAnsi="宋体"/>
          <w:b/>
          <w:bCs/>
          <w:color w:val="auto"/>
          <w:kern w:val="0"/>
          <w:sz w:val="24"/>
          <w:highlight w:val="none"/>
          <w:lang w:val="zh-CN"/>
        </w:rPr>
      </w:pPr>
    </w:p>
    <w:p>
      <w:pPr>
        <w:autoSpaceDE w:val="0"/>
        <w:autoSpaceDN w:val="0"/>
        <w:adjustRightInd w:val="0"/>
        <w:spacing w:before="156" w:beforeLines="50" w:after="156" w:afterLines="50"/>
        <w:jc w:val="left"/>
        <w:rPr>
          <w:rFonts w:hint="eastAsia" w:ascii="宋体" w:hAnsi="宋体"/>
          <w:b/>
          <w:bCs/>
          <w:color w:val="auto"/>
          <w:kern w:val="0"/>
          <w:sz w:val="24"/>
          <w:highlight w:val="none"/>
          <w:lang w:val="zh-CN"/>
        </w:rPr>
      </w:pPr>
      <w:r>
        <w:rPr>
          <w:rFonts w:hint="eastAsia" w:ascii="宋体" w:hAnsi="宋体"/>
          <w:b/>
          <w:bCs/>
          <w:color w:val="auto"/>
          <w:kern w:val="0"/>
          <w:sz w:val="24"/>
          <w:highlight w:val="none"/>
          <w:lang w:val="zh-CN"/>
        </w:rPr>
        <w:t>乙方(采购代理机构)：</w:t>
      </w:r>
    </w:p>
    <w:p>
      <w:pPr>
        <w:autoSpaceDE w:val="0"/>
        <w:autoSpaceDN w:val="0"/>
        <w:adjustRightInd w:val="0"/>
        <w:spacing w:before="156" w:beforeLines="50" w:after="156" w:afterLines="50"/>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地址:</w:t>
      </w:r>
      <w:r>
        <w:rPr>
          <w:rFonts w:hint="eastAsia" w:ascii="宋体" w:hAnsi="宋体" w:eastAsia="新宋体" w:cs="新宋体"/>
          <w:color w:val="auto"/>
          <w:kern w:val="0"/>
          <w:sz w:val="24"/>
          <w:highlight w:val="none"/>
          <w:lang w:val="zh-CN"/>
        </w:rPr>
        <w:t xml:space="preserve"> </w:t>
      </w:r>
    </w:p>
    <w:p>
      <w:pPr>
        <w:autoSpaceDE w:val="0"/>
        <w:autoSpaceDN w:val="0"/>
        <w:adjustRightInd w:val="0"/>
        <w:spacing w:before="156" w:beforeLines="50" w:after="156" w:afterLines="50"/>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 xml:space="preserve">电话:             </w:t>
      </w:r>
    </w:p>
    <w:p>
      <w:pPr>
        <w:tabs>
          <w:tab w:val="left" w:pos="540"/>
        </w:tabs>
        <w:spacing w:line="360" w:lineRule="auto"/>
        <w:rPr>
          <w:rFonts w:hint="eastAsia" w:ascii="宋体" w:hAnsi="宋体"/>
          <w:color w:val="auto"/>
          <w:sz w:val="24"/>
          <w:highlight w:val="none"/>
        </w:rPr>
      </w:pPr>
    </w:p>
    <w:p>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甲方现委托乙方就</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肇庆盈德油站项目</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以</w:t>
      </w:r>
      <w:r>
        <w:rPr>
          <w:rFonts w:hint="eastAsia" w:ascii="宋体" w:hAnsi="宋体"/>
          <w:color w:val="auto"/>
          <w:sz w:val="24"/>
          <w:highlight w:val="none"/>
          <w:u w:val="single"/>
        </w:rPr>
        <w:t xml:space="preserve"> 公开招标 </w:t>
      </w:r>
      <w:r>
        <w:rPr>
          <w:rFonts w:hint="eastAsia" w:ascii="宋体" w:hAnsi="宋体"/>
          <w:color w:val="auto"/>
          <w:sz w:val="24"/>
          <w:highlight w:val="none"/>
        </w:rPr>
        <w:t>方式进行招标采购，为确保招标工作遵循公开、公平、公正和诚实信用的原则进行，</w:t>
      </w:r>
      <w:r>
        <w:rPr>
          <w:rFonts w:hint="eastAsia" w:ascii="宋体" w:hAnsi="宋体"/>
          <w:color w:val="auto"/>
          <w:kern w:val="0"/>
          <w:sz w:val="24"/>
          <w:highlight w:val="none"/>
          <w:lang w:val="zh-CN"/>
        </w:rPr>
        <w:t>甲、乙双方经协商一致</w:t>
      </w:r>
      <w:r>
        <w:rPr>
          <w:rFonts w:hint="eastAsia" w:ascii="宋体" w:hAnsi="宋体"/>
          <w:color w:val="auto"/>
          <w:kern w:val="0"/>
          <w:sz w:val="24"/>
          <w:highlight w:val="none"/>
        </w:rPr>
        <w:t>，</w:t>
      </w:r>
      <w:r>
        <w:rPr>
          <w:rFonts w:hint="eastAsia" w:ascii="宋体" w:hAnsi="宋体"/>
          <w:color w:val="auto"/>
          <w:kern w:val="0"/>
          <w:sz w:val="24"/>
          <w:highlight w:val="none"/>
          <w:lang w:val="zh-CN"/>
        </w:rPr>
        <w:t>就有关事宜达成如下协议</w:t>
      </w:r>
      <w:r>
        <w:rPr>
          <w:rFonts w:hint="eastAsia" w:ascii="宋体" w:hAnsi="宋体"/>
          <w:color w:val="auto"/>
          <w:kern w:val="0"/>
          <w:sz w:val="24"/>
          <w:highlight w:val="none"/>
        </w:rPr>
        <w:t>：</w:t>
      </w:r>
    </w:p>
    <w:p>
      <w:pPr>
        <w:spacing w:line="360" w:lineRule="auto"/>
        <w:contextualSpacing/>
        <w:rPr>
          <w:rFonts w:hint="eastAsia" w:ascii="宋体" w:hAnsi="宋体"/>
          <w:b/>
          <w:color w:val="auto"/>
          <w:sz w:val="24"/>
          <w:highlight w:val="none"/>
        </w:rPr>
      </w:pPr>
      <w:r>
        <w:rPr>
          <w:rFonts w:hint="eastAsia" w:ascii="宋体" w:hAnsi="宋体"/>
          <w:b/>
          <w:color w:val="auto"/>
          <w:sz w:val="24"/>
          <w:highlight w:val="none"/>
        </w:rPr>
        <w:t>一、委托采购项目基本情况</w:t>
      </w:r>
    </w:p>
    <w:p>
      <w:pPr>
        <w:widowControl/>
        <w:spacing w:line="360" w:lineRule="auto"/>
        <w:ind w:firstLine="480" w:firstLineChars="200"/>
        <w:contextualSpacing/>
        <w:jc w:val="left"/>
        <w:rPr>
          <w:rFonts w:ascii="宋体" w:hAnsi="宋体"/>
          <w:bCs/>
          <w:color w:val="auto"/>
          <w:sz w:val="24"/>
          <w:highlight w:val="none"/>
        </w:rPr>
      </w:pPr>
      <w:r>
        <w:rPr>
          <w:rFonts w:hint="eastAsia" w:ascii="宋体" w:hAnsi="宋体"/>
          <w:bCs/>
          <w:color w:val="auto"/>
          <w:sz w:val="24"/>
          <w:highlight w:val="none"/>
        </w:rPr>
        <w:t>1、项目名称：</w:t>
      </w:r>
      <w:r>
        <w:rPr>
          <w:rFonts w:hint="eastAsia" w:ascii="宋体" w:hAnsi="宋体"/>
          <w:bCs/>
          <w:color w:val="auto"/>
          <w:sz w:val="24"/>
          <w:highlight w:val="none"/>
          <w:lang w:eastAsia="zh-CN"/>
        </w:rPr>
        <w:t>肇庆盈德油站项目</w:t>
      </w:r>
      <w:r>
        <w:rPr>
          <w:rFonts w:hint="eastAsia" w:ascii="宋体" w:hAnsi="宋体"/>
          <w:bCs/>
          <w:color w:val="auto"/>
          <w:sz w:val="24"/>
          <w:highlight w:val="none"/>
        </w:rPr>
        <w:t>；</w:t>
      </w:r>
      <w:r>
        <w:rPr>
          <w:rFonts w:ascii="宋体" w:hAnsi="宋体"/>
          <w:bCs/>
          <w:color w:val="auto"/>
          <w:sz w:val="24"/>
          <w:highlight w:val="none"/>
        </w:rPr>
        <w:t xml:space="preserve"> </w:t>
      </w:r>
    </w:p>
    <w:p>
      <w:pPr>
        <w:widowControl/>
        <w:spacing w:line="360" w:lineRule="auto"/>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2、采购内容：肇庆盈德油站项目建设相关的工程施工单位、设施设备及工程监理等工程建设配套服务项目的</w:t>
      </w:r>
      <w:r>
        <w:rPr>
          <w:rFonts w:hint="eastAsia" w:ascii="宋体" w:hAnsi="宋体"/>
          <w:bCs/>
          <w:color w:val="auto"/>
          <w:sz w:val="24"/>
          <w:highlight w:val="none"/>
          <w:lang w:eastAsia="zh-CN"/>
        </w:rPr>
        <w:t>采购</w:t>
      </w:r>
      <w:r>
        <w:rPr>
          <w:rFonts w:hint="eastAsia" w:ascii="宋体" w:hAnsi="宋体"/>
          <w:bCs/>
          <w:color w:val="auto"/>
          <w:sz w:val="24"/>
          <w:highlight w:val="none"/>
        </w:rPr>
        <w:t>；</w:t>
      </w:r>
    </w:p>
    <w:p>
      <w:pPr>
        <w:widowControl/>
        <w:spacing w:line="360" w:lineRule="auto"/>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3、资金来源：自筹资金；</w:t>
      </w:r>
    </w:p>
    <w:p>
      <w:pPr>
        <w:widowControl/>
        <w:spacing w:line="360" w:lineRule="auto"/>
        <w:ind w:firstLine="480" w:firstLineChars="200"/>
        <w:contextualSpacing/>
        <w:jc w:val="left"/>
        <w:rPr>
          <w:rFonts w:hint="eastAsia" w:ascii="宋体" w:hAnsi="宋体"/>
          <w:bCs/>
          <w:color w:val="auto"/>
          <w:sz w:val="24"/>
          <w:highlight w:val="none"/>
        </w:rPr>
      </w:pPr>
      <w:r>
        <w:rPr>
          <w:rFonts w:hint="eastAsia" w:ascii="宋体" w:hAnsi="宋体"/>
          <w:bCs/>
          <w:color w:val="auto"/>
          <w:sz w:val="24"/>
          <w:highlight w:val="none"/>
        </w:rPr>
        <w:t>4、采购预算金额：人民币</w:t>
      </w: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hint="eastAsia" w:ascii="宋体" w:hAnsi="宋体"/>
          <w:bCs/>
          <w:color w:val="auto"/>
          <w:sz w:val="24"/>
          <w:highlight w:val="none"/>
          <w:lang w:val="en-US" w:eastAsia="zh-CN"/>
        </w:rPr>
        <w:t>048</w:t>
      </w:r>
      <w:r>
        <w:rPr>
          <w:rFonts w:hint="eastAsia" w:ascii="宋体" w:hAnsi="宋体"/>
          <w:bCs/>
          <w:color w:val="auto"/>
          <w:sz w:val="24"/>
          <w:highlight w:val="none"/>
        </w:rPr>
        <w:t>,331.20元；</w:t>
      </w:r>
    </w:p>
    <w:p>
      <w:pPr>
        <w:spacing w:line="360" w:lineRule="auto"/>
        <w:contextualSpacing/>
        <w:rPr>
          <w:rFonts w:hint="eastAsia" w:ascii="宋体" w:hAnsi="宋体"/>
          <w:b/>
          <w:color w:val="auto"/>
          <w:sz w:val="24"/>
          <w:highlight w:val="none"/>
        </w:rPr>
      </w:pPr>
      <w:r>
        <w:rPr>
          <w:rFonts w:hint="eastAsia" w:ascii="宋体" w:hAnsi="宋体"/>
          <w:b/>
          <w:color w:val="auto"/>
          <w:sz w:val="24"/>
          <w:highlight w:val="none"/>
        </w:rPr>
        <w:t>二、双方的权利与义务</w:t>
      </w:r>
    </w:p>
    <w:p>
      <w:pPr>
        <w:spacing w:line="360" w:lineRule="auto"/>
        <w:ind w:firstLine="435"/>
        <w:contextualSpacing/>
        <w:rPr>
          <w:rFonts w:hint="eastAsia" w:ascii="宋体" w:hAnsi="宋体"/>
          <w:color w:val="auto"/>
          <w:sz w:val="24"/>
          <w:highlight w:val="none"/>
        </w:rPr>
      </w:pPr>
      <w:r>
        <w:rPr>
          <w:rFonts w:hint="eastAsia" w:ascii="宋体" w:hAnsi="宋体"/>
          <w:color w:val="auto"/>
          <w:sz w:val="24"/>
          <w:highlight w:val="none"/>
        </w:rPr>
        <w:t>（一）甲方的权利与义务</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1、甲方指派专人负责与乙方进行工作联系。</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甲方向乙方提供采购所需的有关技术规格资料及项目有关的服务、商务等材料和要求，并保证这些材料的准确性。在依法委托过程中，不得要求乙方在采购文件中以不合理的条件限制或排斥潜在的供应商参与竞争，不得对供应商实行差别待遇或歧视待遇，不得以任何手段排</w:t>
      </w:r>
      <w:r>
        <w:rPr>
          <w:rFonts w:ascii="宋体" w:hAnsi="宋体"/>
          <w:color w:val="auto"/>
          <w:sz w:val="24"/>
          <w:highlight w:val="none"/>
        </w:rPr>
        <w:t>斥其他供应商参与</w:t>
      </w:r>
      <w:r>
        <w:rPr>
          <w:rFonts w:hint="eastAsia" w:ascii="宋体" w:hAnsi="宋体"/>
          <w:color w:val="auto"/>
          <w:sz w:val="24"/>
          <w:highlight w:val="none"/>
        </w:rPr>
        <w:t>公平</w:t>
      </w:r>
      <w:r>
        <w:rPr>
          <w:rFonts w:ascii="宋体" w:hAnsi="宋体"/>
          <w:color w:val="auto"/>
          <w:sz w:val="24"/>
          <w:highlight w:val="none"/>
        </w:rPr>
        <w:t>竞争，</w:t>
      </w:r>
      <w:r>
        <w:rPr>
          <w:rFonts w:hint="eastAsia" w:ascii="宋体" w:hAnsi="宋体"/>
          <w:color w:val="auto"/>
          <w:sz w:val="24"/>
          <w:highlight w:val="none"/>
        </w:rPr>
        <w:t>不得以任何方式向乙方和评审专家指定或暗示中标供应商。</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3、甲方严格审核采购文件和评审标准及办法，无误后予以签字并加盖单位公章确认。</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4、对乙方在代理期间和代理权限内提出的与项目有关的问题及时答复。</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5、配合乙方开展采购工作，协助组织现场考察和答疑活动。</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6、甲方派出单位工作人员参加并监督乙方组建评审委员会。</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7、甲方派员参与评审工作并对评审内容保密</w:t>
      </w:r>
      <w:r>
        <w:rPr>
          <w:rFonts w:ascii="宋体" w:hAnsi="宋体"/>
          <w:color w:val="auto"/>
          <w:sz w:val="24"/>
          <w:highlight w:val="none"/>
        </w:rPr>
        <w:t>。</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8、甲方审查评审报告，根据评审报告，在评审结束后五个工作日内向乙方出具评审结果确认文件，依法确定中标供应商。</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9、依法与中标供应商签订采购合同，并对供应商提供的货物和服务进行履约验收。</w:t>
      </w:r>
    </w:p>
    <w:p>
      <w:pPr>
        <w:spacing w:line="360" w:lineRule="auto"/>
        <w:ind w:firstLine="435"/>
        <w:contextualSpacing/>
        <w:rPr>
          <w:rFonts w:hint="eastAsia" w:ascii="宋体" w:hAnsi="宋体"/>
          <w:color w:val="auto"/>
          <w:sz w:val="24"/>
          <w:highlight w:val="none"/>
        </w:rPr>
      </w:pPr>
      <w:r>
        <w:rPr>
          <w:rFonts w:hint="eastAsia" w:ascii="宋体" w:hAnsi="宋体"/>
          <w:color w:val="auto"/>
          <w:sz w:val="24"/>
          <w:highlight w:val="none"/>
        </w:rPr>
        <w:t>10、协助乙方完成组织采购活动的其他工作。</w:t>
      </w:r>
    </w:p>
    <w:p>
      <w:pPr>
        <w:spacing w:line="360" w:lineRule="auto"/>
        <w:ind w:firstLine="435"/>
        <w:contextualSpacing/>
        <w:rPr>
          <w:rFonts w:hint="eastAsia" w:ascii="宋体" w:hAnsi="宋体"/>
          <w:color w:val="auto"/>
          <w:sz w:val="24"/>
          <w:highlight w:val="none"/>
        </w:rPr>
      </w:pPr>
      <w:r>
        <w:rPr>
          <w:rFonts w:hint="eastAsia" w:ascii="宋体" w:hAnsi="宋体"/>
          <w:color w:val="auto"/>
          <w:sz w:val="24"/>
          <w:highlight w:val="none"/>
        </w:rPr>
        <w:t>11、法律、法规和规章规定的其他权利和义务。</w:t>
      </w:r>
    </w:p>
    <w:p>
      <w:pPr>
        <w:spacing w:line="360" w:lineRule="auto"/>
        <w:ind w:firstLine="435"/>
        <w:contextualSpacing/>
        <w:rPr>
          <w:rFonts w:hint="eastAsia" w:ascii="宋体" w:hAnsi="宋体"/>
          <w:color w:val="auto"/>
          <w:sz w:val="24"/>
          <w:highlight w:val="none"/>
        </w:rPr>
      </w:pPr>
      <w:r>
        <w:rPr>
          <w:rFonts w:hint="eastAsia" w:ascii="宋体" w:hAnsi="宋体"/>
          <w:color w:val="auto"/>
          <w:sz w:val="24"/>
          <w:highlight w:val="none"/>
        </w:rPr>
        <w:t>（二）乙方的权利与义务</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1、乙方自觉接受有关部门和甲方的监督，</w:t>
      </w:r>
      <w:r>
        <w:rPr>
          <w:rFonts w:ascii="宋体" w:hAnsi="宋体"/>
          <w:color w:val="auto"/>
          <w:sz w:val="24"/>
          <w:highlight w:val="none"/>
        </w:rPr>
        <w:t>且在组织实施过程中不受任何非法干扰的权利</w:t>
      </w:r>
      <w:r>
        <w:rPr>
          <w:rFonts w:hint="eastAsia" w:ascii="宋体" w:hAnsi="宋体"/>
          <w:color w:val="auto"/>
          <w:sz w:val="24"/>
          <w:highlight w:val="none"/>
        </w:rPr>
        <w:t>。</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2、研究拟定代理采购项目的组织实施方案，按规定或约定的时间，及时向甲方通报采购活动实施进度情况及相关信息。</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3、按照甲方委托的要求，在约定时间内依法编制采购文件并提交甲方确认。</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4、甲方依法确认采购文件后，乙方负责组织实施编制、印刷、发售、解释采购文件、采购信息发布、对采购项目实施过程中供应商的询问、质疑作出答复等工作。</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5、采购文件发出后，如出现必须对采购文件进行澄清和修改的情形，乙方必须在甲方同意后，方可对采购文件做出澄清和修改，并有通知到相关供应商的义务。</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6、协助组织踏勘现场、组织答疑会议、代管投标保证金。</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7、乙方组建评审委员会，甲方参与监督管理。除特殊情况外，在评审前一个工作日从依法组建的专家库中通过随机方式抽取评审委员会成员。</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乙方有组织项目</w:t>
      </w:r>
      <w:r>
        <w:rPr>
          <w:rFonts w:hint="eastAsia" w:ascii="宋体" w:hAnsi="宋体"/>
          <w:color w:val="auto"/>
          <w:sz w:val="24"/>
          <w:highlight w:val="none"/>
        </w:rPr>
        <w:t>评审活动</w:t>
      </w:r>
      <w:r>
        <w:rPr>
          <w:rFonts w:ascii="宋体" w:hAnsi="宋体"/>
          <w:color w:val="auto"/>
          <w:sz w:val="24"/>
          <w:highlight w:val="none"/>
        </w:rPr>
        <w:t>，对采购活动如实记录的义务</w:t>
      </w:r>
      <w:r>
        <w:rPr>
          <w:rFonts w:hint="eastAsia" w:ascii="宋体" w:hAnsi="宋体"/>
          <w:color w:val="auto"/>
          <w:sz w:val="24"/>
          <w:highlight w:val="none"/>
        </w:rPr>
        <w:t>。</w:t>
      </w:r>
    </w:p>
    <w:p>
      <w:pPr>
        <w:widowControl/>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9、向甲方提交评审委员会编写的评审报告，由甲方出具评审结果确认函。</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10、乙方根据甲方出具的评审结果确认函，将评审结果通知中标人。</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乙方有受理项目质疑，草拟答复意见</w:t>
      </w:r>
      <w:r>
        <w:rPr>
          <w:rFonts w:hint="eastAsia" w:ascii="宋体" w:hAnsi="宋体"/>
          <w:color w:val="auto"/>
          <w:sz w:val="24"/>
          <w:highlight w:val="none"/>
        </w:rPr>
        <w:t>，</w:t>
      </w:r>
      <w:r>
        <w:rPr>
          <w:rFonts w:ascii="宋体" w:hAnsi="宋体"/>
          <w:color w:val="auto"/>
          <w:sz w:val="24"/>
          <w:highlight w:val="none"/>
        </w:rPr>
        <w:t>报请甲方审核及在法定期限内答复质疑供应商的义务</w:t>
      </w:r>
      <w:r>
        <w:rPr>
          <w:rFonts w:hint="eastAsia" w:ascii="宋体" w:hAnsi="宋体"/>
          <w:color w:val="auto"/>
          <w:sz w:val="24"/>
          <w:highlight w:val="none"/>
        </w:rPr>
        <w:t>。</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乙方有针对采购投诉提供情况说明和相关证据、配合监管部门处理投诉案件的义务</w:t>
      </w:r>
      <w:r>
        <w:rPr>
          <w:rFonts w:hint="eastAsia" w:ascii="宋体" w:hAnsi="宋体"/>
          <w:color w:val="auto"/>
          <w:sz w:val="24"/>
          <w:highlight w:val="none"/>
        </w:rPr>
        <w:t>。</w:t>
      </w:r>
    </w:p>
    <w:p>
      <w:pPr>
        <w:widowControl/>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13、采购工作完成后向甲方提交项目的相关资料。</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14、协助甲方解决在履行采购合同过程中与供应商产生的纠纷，在甲方与供应商协商、仲裁和诉讼过程中乙方应给予必要的配合。</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15、对采购项目中涉及的商业秘密负有保密义务，不得将可能影响采购项目公正性的信息透露给利害关系人。</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16、法律、法规和规章规定的其他权利和义务。</w:t>
      </w:r>
    </w:p>
    <w:p>
      <w:pPr>
        <w:spacing w:line="360" w:lineRule="auto"/>
        <w:contextualSpacing/>
        <w:rPr>
          <w:rFonts w:hint="eastAsia" w:ascii="宋体" w:hAnsi="宋体"/>
          <w:b/>
          <w:color w:val="auto"/>
          <w:sz w:val="24"/>
          <w:highlight w:val="none"/>
        </w:rPr>
      </w:pPr>
      <w:r>
        <w:rPr>
          <w:rFonts w:hint="eastAsia" w:ascii="宋体" w:hAnsi="宋体"/>
          <w:b/>
          <w:color w:val="auto"/>
          <w:sz w:val="24"/>
          <w:highlight w:val="none"/>
        </w:rPr>
        <w:t>三、工作原则和定标程序</w:t>
      </w:r>
    </w:p>
    <w:p>
      <w:pPr>
        <w:autoSpaceDE w:val="0"/>
        <w:autoSpaceDN w:val="0"/>
        <w:adjustRightInd w:val="0"/>
        <w:spacing w:line="360" w:lineRule="auto"/>
        <w:contextualSpacing/>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（一）工作原则</w:t>
      </w:r>
    </w:p>
    <w:p>
      <w:pPr>
        <w:autoSpaceDE w:val="0"/>
        <w:autoSpaceDN w:val="0"/>
        <w:adjustRightInd w:val="0"/>
        <w:spacing w:line="360" w:lineRule="auto"/>
        <w:ind w:firstLine="480" w:firstLineChars="200"/>
        <w:contextualSpacing/>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甲乙双方本着密切协助，精心组织，保证质量，按期完成的原则，开展各项工作。</w:t>
      </w:r>
    </w:p>
    <w:p>
      <w:pPr>
        <w:autoSpaceDE w:val="0"/>
        <w:autoSpaceDN w:val="0"/>
        <w:adjustRightInd w:val="0"/>
        <w:spacing w:line="360" w:lineRule="auto"/>
        <w:contextualSpacing/>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（二）定标程序</w:t>
      </w:r>
    </w:p>
    <w:p>
      <w:pPr>
        <w:autoSpaceDE w:val="0"/>
        <w:autoSpaceDN w:val="0"/>
        <w:adjustRightInd w:val="0"/>
        <w:spacing w:line="360" w:lineRule="auto"/>
        <w:ind w:firstLine="480" w:firstLineChars="200"/>
        <w:contextualSpacing/>
        <w:jc w:val="left"/>
        <w:rPr>
          <w:rFonts w:hint="eastAsia" w:ascii="宋体" w:hAnsi="宋体"/>
          <w:color w:val="auto"/>
          <w:kern w:val="0"/>
          <w:sz w:val="24"/>
          <w:highlight w:val="none"/>
          <w:lang w:val="zh-CN"/>
        </w:rPr>
      </w:pPr>
      <w:r>
        <w:rPr>
          <w:rFonts w:hint="eastAsia" w:ascii="宋体" w:hAnsi="宋体"/>
          <w:color w:val="auto"/>
          <w:sz w:val="24"/>
          <w:highlight w:val="none"/>
        </w:rPr>
        <w:t>评审委员会</w:t>
      </w:r>
      <w:r>
        <w:rPr>
          <w:rFonts w:hint="eastAsia" w:ascii="宋体" w:hAnsi="宋体"/>
          <w:color w:val="auto"/>
          <w:kern w:val="0"/>
          <w:sz w:val="24"/>
          <w:highlight w:val="none"/>
          <w:lang w:val="zh-CN"/>
        </w:rPr>
        <w:t>对供应商递交的投标文件进行评审，推荐出中标候选人。</w:t>
      </w:r>
    </w:p>
    <w:p>
      <w:pPr>
        <w:autoSpaceDE w:val="0"/>
        <w:autoSpaceDN w:val="0"/>
        <w:adjustRightInd w:val="0"/>
        <w:spacing w:line="360" w:lineRule="auto"/>
        <w:ind w:firstLine="480" w:firstLineChars="200"/>
        <w:contextualSpacing/>
        <w:jc w:val="left"/>
        <w:rPr>
          <w:rFonts w:hint="eastAsia" w:ascii="宋体" w:hAnsi="宋体"/>
          <w:color w:val="auto"/>
          <w:kern w:val="0"/>
          <w:sz w:val="24"/>
          <w:highlight w:val="none"/>
          <w:lang w:val="zh-CN"/>
        </w:rPr>
      </w:pPr>
      <w:r>
        <w:rPr>
          <w:rFonts w:hint="eastAsia" w:ascii="宋体" w:hAnsi="宋体"/>
          <w:color w:val="auto"/>
          <w:kern w:val="0"/>
          <w:sz w:val="24"/>
          <w:highlight w:val="none"/>
          <w:lang w:val="zh-CN"/>
        </w:rPr>
        <w:t>甲方根据</w:t>
      </w:r>
      <w:r>
        <w:rPr>
          <w:rFonts w:hint="eastAsia" w:ascii="宋体" w:hAnsi="宋体"/>
          <w:color w:val="auto"/>
          <w:sz w:val="24"/>
          <w:highlight w:val="none"/>
        </w:rPr>
        <w:t>评审委员会</w:t>
      </w:r>
      <w:r>
        <w:rPr>
          <w:rFonts w:hint="eastAsia" w:ascii="宋体" w:hAnsi="宋体"/>
          <w:color w:val="auto"/>
          <w:kern w:val="0"/>
          <w:sz w:val="24"/>
          <w:highlight w:val="none"/>
          <w:lang w:val="zh-CN"/>
        </w:rPr>
        <w:t>的评审报告和推荐的中标候选人依法确定中标人。</w:t>
      </w:r>
    </w:p>
    <w:p>
      <w:pPr>
        <w:spacing w:line="360" w:lineRule="auto"/>
        <w:contextualSpacing/>
        <w:rPr>
          <w:rFonts w:hint="eastAsia" w:ascii="宋体" w:hAnsi="宋体"/>
          <w:b/>
          <w:color w:val="auto"/>
          <w:sz w:val="24"/>
          <w:highlight w:val="none"/>
        </w:rPr>
      </w:pPr>
      <w:r>
        <w:rPr>
          <w:rFonts w:hint="eastAsia" w:ascii="宋体" w:hAnsi="宋体"/>
          <w:b/>
          <w:color w:val="auto"/>
          <w:sz w:val="24"/>
          <w:highlight w:val="none"/>
        </w:rPr>
        <w:t>四、委托代理期限</w:t>
      </w:r>
    </w:p>
    <w:p>
      <w:pPr>
        <w:spacing w:line="360" w:lineRule="auto"/>
        <w:ind w:firstLine="435"/>
        <w:contextualSpacing/>
        <w:rPr>
          <w:rFonts w:hint="eastAsia" w:ascii="宋体" w:hAnsi="宋体"/>
          <w:color w:val="auto"/>
          <w:sz w:val="24"/>
          <w:highlight w:val="none"/>
        </w:rPr>
      </w:pPr>
      <w:r>
        <w:rPr>
          <w:rFonts w:hint="eastAsia" w:ascii="宋体" w:hAnsi="宋体"/>
          <w:color w:val="auto"/>
          <w:sz w:val="24"/>
          <w:highlight w:val="none"/>
        </w:rPr>
        <w:t>自本协议生效之日起至甲方与中标供应商签订合同之日止。</w:t>
      </w:r>
    </w:p>
    <w:p>
      <w:pPr>
        <w:spacing w:line="360" w:lineRule="auto"/>
        <w:contextualSpacing/>
        <w:rPr>
          <w:rFonts w:hint="eastAsia"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违约责任及其处理方法</w:t>
      </w:r>
    </w:p>
    <w:p>
      <w:pPr>
        <w:spacing w:line="360" w:lineRule="auto"/>
        <w:ind w:firstLine="435"/>
        <w:contextualSpacing/>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双方均应全面履行本协议约定，如任何一方有违约行为，应向守约方承担违约责任，同时守约方有权向同级监督管理部门反映情况。</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违约行为发生后，守约方有义务向违约方发出具体说明违约情形及限期改正的书面通知，如实际存在违约行为，违约方应在守约方书面通知规定的期限内改正；如违约方有异议，应于接到该通知起3日内向守约方提交书面说明，在此前提下，双方可进行协商，订立补充协议。</w:t>
      </w:r>
    </w:p>
    <w:p>
      <w:pPr>
        <w:widowControl/>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如违约方实施严重违约行为，或实际违约行为发生后，违约方未于守约方书面通知规定的期限内改正的，守约方有权解除本协议，并可依法追究违约方责任，给守约方造成经济损失的，由违约方支付与经济损失等额的赔偿金。</w:t>
      </w:r>
    </w:p>
    <w:p>
      <w:pPr>
        <w:spacing w:line="360" w:lineRule="auto"/>
        <w:contextualSpacing/>
        <w:rPr>
          <w:rFonts w:hint="eastAsia" w:ascii="宋体" w:hAnsi="宋体"/>
          <w:b/>
          <w:color w:val="auto"/>
          <w:sz w:val="24"/>
          <w:highlight w:val="none"/>
        </w:rPr>
      </w:pPr>
      <w:r>
        <w:rPr>
          <w:rFonts w:hint="eastAsia" w:ascii="宋体" w:hAnsi="宋体"/>
          <w:b/>
          <w:color w:val="auto"/>
          <w:sz w:val="24"/>
          <w:highlight w:val="none"/>
        </w:rPr>
        <w:t>六、代理费用</w:t>
      </w:r>
    </w:p>
    <w:p>
      <w:pPr>
        <w:spacing w:line="360" w:lineRule="auto"/>
        <w:ind w:firstLine="480" w:firstLineChars="200"/>
        <w:contextualSpacing/>
        <w:rPr>
          <w:rFonts w:hint="default" w:ascii="宋体" w:hAnsi="宋体" w:eastAsia="宋体"/>
          <w:color w:val="auto"/>
          <w:sz w:val="24"/>
          <w:highlight w:val="none"/>
          <w:lang w:val="en-US" w:eastAsia="zh-CN"/>
        </w:rPr>
      </w:pPr>
      <w:r>
        <w:rPr>
          <w:rFonts w:hint="eastAsia" w:ascii="宋体" w:hAnsi="宋体"/>
          <w:color w:val="auto"/>
          <w:sz w:val="24"/>
          <w:highlight w:val="none"/>
        </w:rPr>
        <w:t>（一）乙方按原国家计委《关于印发招标代理服务收费管理暂行办法的通知》（计价格[2002]1980号）的计费标准计算的招标代理服务费</w:t>
      </w:r>
      <w:r>
        <w:rPr>
          <w:rFonts w:hint="eastAsia" w:ascii="宋体" w:hAnsi="宋体"/>
          <w:color w:val="auto"/>
          <w:sz w:val="24"/>
          <w:highlight w:val="none"/>
          <w:lang w:val="en-US" w:eastAsia="zh-CN"/>
        </w:rPr>
        <w:t>乘以乙方的报价折扣率（ %）</w:t>
      </w:r>
      <w:r>
        <w:rPr>
          <w:rFonts w:hint="eastAsia" w:ascii="宋体" w:hAnsi="宋体"/>
          <w:color w:val="auto"/>
          <w:sz w:val="24"/>
          <w:highlight w:val="none"/>
        </w:rPr>
        <w:t>后向中标人</w:t>
      </w:r>
      <w:r>
        <w:rPr>
          <w:rFonts w:ascii="宋体" w:hAnsi="宋体"/>
          <w:color w:val="auto"/>
          <w:sz w:val="24"/>
          <w:highlight w:val="none"/>
        </w:rPr>
        <w:t>收取代理服务费</w:t>
      </w:r>
      <w:r>
        <w:rPr>
          <w:rFonts w:hint="eastAsia" w:ascii="宋体" w:hAnsi="宋体"/>
          <w:color w:val="auto"/>
          <w:sz w:val="24"/>
          <w:highlight w:val="none"/>
        </w:rPr>
        <w:t>。</w:t>
      </w:r>
      <w:r>
        <w:rPr>
          <w:rFonts w:hint="eastAsia" w:ascii="宋体" w:hAnsi="宋体"/>
          <w:color w:val="auto"/>
          <w:sz w:val="24"/>
          <w:highlight w:val="none"/>
          <w:lang w:val="en-US" w:eastAsia="zh-CN"/>
        </w:rPr>
        <w:t>乙方向中标人开具合法税票。</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（二）乙方承担招标采购过程的全部费用（含采购过程中发生的采购文件的编制费（印刷费）、公告发布费、专家费等）。如出现招标失败的情形，甲方不另行支付任何费用。</w:t>
      </w:r>
    </w:p>
    <w:p>
      <w:pPr>
        <w:spacing w:line="360" w:lineRule="auto"/>
        <w:contextualSpacing/>
        <w:rPr>
          <w:rFonts w:hint="eastAsia" w:ascii="宋体" w:hAnsi="宋体"/>
          <w:color w:val="auto"/>
          <w:sz w:val="24"/>
          <w:highlight w:val="none"/>
        </w:rPr>
      </w:pPr>
      <w:r>
        <w:rPr>
          <w:rFonts w:hint="eastAsia" w:ascii="宋体" w:hAnsi="宋体"/>
          <w:b/>
          <w:color w:val="auto"/>
          <w:sz w:val="24"/>
          <w:highlight w:val="none"/>
        </w:rPr>
        <w:t>七、争议的解决</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在合同执行的过程中，如有争议，双方应及时协商解决。如协商不成，合同双方的任一方均可向肇庆仲裁委员会申请仲裁。</w:t>
      </w:r>
    </w:p>
    <w:p>
      <w:pPr>
        <w:spacing w:line="360" w:lineRule="auto"/>
        <w:ind w:firstLine="480" w:firstLineChars="200"/>
        <w:contextualSpacing/>
        <w:rPr>
          <w:rFonts w:ascii="宋体" w:hAnsi="宋体"/>
          <w:color w:val="auto"/>
          <w:sz w:val="24"/>
          <w:highlight w:val="none"/>
        </w:rPr>
      </w:pP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本协议自甲乙双方签字盖章后起生效。未尽事宜，由双方协商解决。本协议壹式肆份，甲、乙双方各执贰份，具有同等法律效力。</w:t>
      </w:r>
    </w:p>
    <w:p>
      <w:pPr>
        <w:spacing w:line="360" w:lineRule="auto"/>
        <w:rPr>
          <w:rFonts w:hint="eastAsia" w:ascii="宋体" w:hAnsi="宋体"/>
          <w:color w:val="auto"/>
          <w:sz w:val="24"/>
          <w:highlight w:val="none"/>
        </w:rPr>
      </w:pPr>
    </w:p>
    <w:p>
      <w:pPr>
        <w:spacing w:line="360" w:lineRule="auto"/>
        <w:contextualSpacing/>
        <w:rPr>
          <w:rFonts w:hint="default" w:ascii="宋体" w:hAnsi="宋体"/>
          <w:b/>
          <w:color w:val="auto"/>
          <w:sz w:val="24"/>
          <w:highlight w:val="none"/>
          <w:lang w:val="en-US" w:eastAsia="zh-CN"/>
        </w:rPr>
      </w:pPr>
      <w:r>
        <w:rPr>
          <w:rFonts w:hint="eastAsia" w:ascii="宋体" w:hAnsi="宋体"/>
          <w:b/>
          <w:color w:val="auto"/>
          <w:sz w:val="24"/>
          <w:highlight w:val="none"/>
          <w:lang w:val="en-US" w:eastAsia="zh-CN"/>
        </w:rPr>
        <w:t>八、附件</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附件下列文件构成本合同不可分割的组成部分，与本合同具有同等法律效力:</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《报价一览表》;</w:t>
      </w:r>
    </w:p>
    <w:p>
      <w:pPr>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《廉政合同》</w:t>
      </w:r>
    </w:p>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备注：上述内容仅为合同关键条款，具体签订合同内容已实际为准。</w:t>
      </w:r>
    </w:p>
    <w:p>
      <w:pPr>
        <w:spacing w:before="156" w:beforeLines="50" w:after="156" w:afterLines="50" w:line="360" w:lineRule="auto"/>
        <w:rPr>
          <w:rFonts w:hint="default" w:ascii="宋体" w:hAnsi="宋体" w:eastAsia="宋体"/>
          <w:color w:val="auto"/>
          <w:sz w:val="24"/>
          <w:highlight w:val="none"/>
          <w:lang w:val="en-US" w:eastAsia="zh-CN"/>
        </w:rPr>
      </w:pPr>
    </w:p>
    <w:p>
      <w:pPr>
        <w:spacing w:before="156" w:beforeLines="50" w:after="156" w:afterLines="50" w:line="360" w:lineRule="auto"/>
        <w:rPr>
          <w:rFonts w:hint="eastAsia" w:ascii="宋体" w:hAnsi="宋体"/>
          <w:color w:val="auto"/>
          <w:sz w:val="24"/>
          <w:highlight w:val="none"/>
        </w:rPr>
      </w:pPr>
    </w:p>
    <w:p>
      <w:pPr>
        <w:spacing w:before="156" w:beforeLines="50" w:after="156" w:afterLines="50" w:line="360" w:lineRule="auto"/>
        <w:rPr>
          <w:rFonts w:hint="eastAsia" w:ascii="宋体" w:hAnsi="宋体"/>
          <w:color w:val="auto"/>
          <w:sz w:val="24"/>
          <w:highlight w:val="none"/>
        </w:rPr>
      </w:pPr>
    </w:p>
    <w:p>
      <w:pPr>
        <w:tabs>
          <w:tab w:val="left" w:pos="5085"/>
        </w:tabs>
        <w:spacing w:before="156" w:beforeLines="50" w:after="156" w:afterLines="50" w:line="360" w:lineRule="auto"/>
        <w:rPr>
          <w:rFonts w:hint="eastAsia" w:ascii="宋体" w:hAnsi="宋体"/>
          <w:color w:val="auto"/>
          <w:sz w:val="24"/>
          <w:highlight w:val="none"/>
        </w:rPr>
      </w:pPr>
      <w:r>
        <w:rPr>
          <w:rFonts w:hint="eastAsia" w:ascii="宋体" w:hAnsi="宋体"/>
          <w:color w:val="auto"/>
          <w:sz w:val="24"/>
          <w:highlight w:val="none"/>
        </w:rPr>
        <w:t>甲方（盖章）：</w:t>
      </w:r>
      <w:r>
        <w:rPr>
          <w:rFonts w:hint="eastAsia" w:ascii="宋体" w:hAnsi="宋体"/>
          <w:color w:val="auto"/>
          <w:sz w:val="24"/>
          <w:highlight w:val="none"/>
        </w:rPr>
        <w:tab/>
      </w:r>
      <w:r>
        <w:rPr>
          <w:rFonts w:hint="eastAsia" w:ascii="宋体" w:hAnsi="宋体"/>
          <w:color w:val="auto"/>
          <w:sz w:val="24"/>
          <w:highlight w:val="none"/>
        </w:rPr>
        <w:t xml:space="preserve"> 乙方（盖章）：</w:t>
      </w:r>
    </w:p>
    <w:p>
      <w:pPr>
        <w:widowControl/>
        <w:wordWrap w:val="0"/>
        <w:jc w:val="left"/>
        <w:rPr>
          <w:rFonts w:hint="eastAsia" w:ascii="宋体" w:hAnsi="宋体"/>
          <w:color w:val="auto"/>
          <w:sz w:val="24"/>
          <w:highlight w:val="none"/>
        </w:rPr>
      </w:pPr>
      <w:r>
        <w:rPr>
          <w:rFonts w:hint="eastAsia" w:ascii="宋体" w:hAnsi="宋体"/>
          <w:color w:val="auto"/>
          <w:sz w:val="24"/>
          <w:highlight w:val="none"/>
          <w:lang w:eastAsia="zh-CN"/>
        </w:rPr>
        <w:t>肇庆盈德企业管理有限公司</w:t>
      </w:r>
      <w:r>
        <w:rPr>
          <w:rFonts w:hint="eastAsia" w:ascii="宋体" w:hAnsi="宋体"/>
          <w:color w:val="auto"/>
          <w:sz w:val="24"/>
          <w:highlight w:val="none"/>
        </w:rPr>
        <w:t xml:space="preserve">                    </w:t>
      </w:r>
    </w:p>
    <w:p>
      <w:pPr>
        <w:tabs>
          <w:tab w:val="left" w:pos="4485"/>
        </w:tabs>
        <w:spacing w:before="156" w:beforeLines="50" w:after="156" w:afterLines="50" w:line="360" w:lineRule="auto"/>
        <w:rPr>
          <w:rFonts w:hint="eastAsia" w:ascii="宋体" w:hAnsi="宋体"/>
          <w:color w:val="auto"/>
          <w:sz w:val="24"/>
          <w:highlight w:val="none"/>
        </w:rPr>
      </w:pPr>
      <w:r>
        <w:rPr>
          <w:rFonts w:hint="eastAsia" w:ascii="宋体" w:hAnsi="宋体"/>
          <w:color w:val="auto"/>
          <w:sz w:val="24"/>
          <w:highlight w:val="none"/>
        </w:rPr>
        <w:tab/>
      </w:r>
    </w:p>
    <w:p>
      <w:pPr>
        <w:tabs>
          <w:tab w:val="left" w:pos="4962"/>
        </w:tabs>
        <w:spacing w:before="156" w:beforeLines="50" w:after="156" w:afterLines="50"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hint="eastAsia" w:ascii="宋体" w:hAnsi="宋体"/>
          <w:color w:val="auto"/>
          <w:sz w:val="24"/>
          <w:highlight w:val="none"/>
        </w:rPr>
        <w:tab/>
      </w:r>
      <w:r>
        <w:rPr>
          <w:rFonts w:hint="eastAsia" w:ascii="宋体" w:hAnsi="宋体"/>
          <w:color w:val="auto"/>
          <w:sz w:val="24"/>
          <w:highlight w:val="none"/>
        </w:rPr>
        <w:t xml:space="preserve">  授权代表（签字）：</w:t>
      </w:r>
    </w:p>
    <w:p>
      <w:pPr>
        <w:tabs>
          <w:tab w:val="left" w:pos="4962"/>
        </w:tabs>
        <w:spacing w:before="156" w:beforeLines="50" w:after="156" w:afterLines="50"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 xml:space="preserve">  日期：</w:t>
      </w:r>
    </w:p>
    <w:p>
      <w:pPr>
        <w:rPr>
          <w:rFonts w:ascii="仿宋" w:hAnsi="仿宋" w:eastAsia="仿宋" w:cs="仿宋"/>
          <w:b/>
          <w:color w:val="auto"/>
          <w:sz w:val="28"/>
          <w:szCs w:val="28"/>
          <w:highlight w:val="none"/>
        </w:rPr>
      </w:pPr>
    </w:p>
    <w:p>
      <w:pPr>
        <w:rPr>
          <w:rFonts w:ascii="仿宋" w:hAnsi="仿宋" w:eastAsia="仿宋" w:cs="仿宋"/>
          <w:color w:val="auto"/>
          <w:sz w:val="28"/>
          <w:szCs w:val="28"/>
          <w:highlight w:val="none"/>
        </w:rPr>
      </w:pPr>
    </w:p>
    <w:p>
      <w:pPr>
        <w:rPr>
          <w:rFonts w:ascii="仿宋" w:hAnsi="仿宋" w:eastAsia="仿宋" w:cs="仿宋"/>
          <w:color w:val="auto"/>
          <w:sz w:val="28"/>
          <w:szCs w:val="28"/>
          <w:highlight w:val="none"/>
        </w:rPr>
      </w:pPr>
    </w:p>
    <w:p>
      <w:pPr>
        <w:tabs>
          <w:tab w:val="left" w:pos="3229"/>
        </w:tabs>
        <w:adjustRightInd w:val="0"/>
        <w:snapToGrid w:val="0"/>
        <w:rPr>
          <w:rFonts w:ascii="仿宋_GB2312" w:hAnsi="仿宋_GB2312" w:eastAsia="仿宋_GB2312" w:cs="仿宋_GB2312"/>
          <w:color w:val="auto"/>
          <w:sz w:val="28"/>
          <w:szCs w:val="28"/>
          <w:highlight w:val="none"/>
        </w:rPr>
      </w:pPr>
      <w:bookmarkStart w:id="17" w:name="_Toc52371278"/>
      <w:r>
        <w:rPr>
          <w:rFonts w:hint="eastAsia" w:ascii="仿宋_GB2312" w:hAnsi="仿宋_GB2312" w:eastAsia="仿宋_GB2312" w:cs="仿宋_GB2312"/>
          <w:color w:val="auto"/>
          <w:sz w:val="28"/>
          <w:szCs w:val="28"/>
          <w:highlight w:val="none"/>
        </w:rPr>
        <w:br w:type="page"/>
      </w:r>
    </w:p>
    <w:p>
      <w:pPr>
        <w:pStyle w:val="3"/>
        <w:adjustRightInd w:val="0"/>
        <w:snapToGrid w:val="0"/>
        <w:spacing w:before="0" w:after="0" w:line="24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附件一：报价一览表</w:t>
      </w:r>
    </w:p>
    <w:p>
      <w:pPr>
        <w:spacing w:before="240" w:beforeLines="100" w:after="240" w:afterLines="100"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报价一览表</w:t>
      </w:r>
    </w:p>
    <w:p>
      <w:pPr>
        <w:adjustRightInd w:val="0"/>
        <w:snapToGrid w:val="0"/>
        <w:spacing w:line="360" w:lineRule="auto"/>
        <w:ind w:right="105" w:rightChars="50"/>
        <w:jc w:val="righ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报价单位：折扣率</w:t>
      </w:r>
    </w:p>
    <w:tbl>
      <w:tblPr>
        <w:tblStyle w:val="18"/>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63"/>
        <w:gridCol w:w="1948"/>
        <w:gridCol w:w="152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标段号</w:t>
            </w:r>
          </w:p>
        </w:tc>
        <w:tc>
          <w:tcPr>
            <w:tcW w:w="2563"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招标项目名称</w:t>
            </w:r>
          </w:p>
        </w:tc>
        <w:tc>
          <w:tcPr>
            <w:tcW w:w="1948"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折扣率</w:t>
            </w:r>
          </w:p>
          <w:p>
            <w:pPr>
              <w:keepNext w:val="0"/>
              <w:keepLines w:val="0"/>
              <w:suppressLineNumbers w:val="0"/>
              <w:adjustRightInd w:val="0"/>
              <w:snapToGrid w:val="0"/>
              <w:spacing w:before="0" w:beforeAutospacing="0" w:after="0" w:afterAutospacing="0"/>
              <w:ind w:left="-86" w:leftChars="-41" w:right="-67" w:rightChars="-32"/>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p>
        </w:tc>
        <w:tc>
          <w:tcPr>
            <w:tcW w:w="1523"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服务期</w:t>
            </w:r>
          </w:p>
        </w:tc>
        <w:tc>
          <w:tcPr>
            <w:tcW w:w="1101"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vAlign w:val="center"/>
          </w:tcPr>
          <w:p>
            <w:pPr>
              <w:keepNext w:val="0"/>
              <w:keepLines w:val="0"/>
              <w:suppressLineNumbers w:val="0"/>
              <w:adjustRightInd w:val="0"/>
              <w:snapToGrid w:val="0"/>
              <w:spacing w:before="0" w:beforeAutospacing="0" w:after="0" w:afterAutospacing="0"/>
              <w:ind w:left="0" w:right="105" w:rightChars="50"/>
              <w:jc w:val="left"/>
              <w:rPr>
                <w:rFonts w:hint="default" w:ascii="仿宋" w:hAnsi="仿宋" w:eastAsia="仿宋" w:cs="仿宋"/>
                <w:color w:val="auto"/>
                <w:sz w:val="28"/>
                <w:szCs w:val="28"/>
                <w:highlight w:val="none"/>
              </w:rPr>
            </w:pPr>
          </w:p>
        </w:tc>
        <w:tc>
          <w:tcPr>
            <w:tcW w:w="2563" w:type="dxa"/>
            <w:vAlign w:val="center"/>
          </w:tcPr>
          <w:p>
            <w:pPr>
              <w:keepNext w:val="0"/>
              <w:keepLines w:val="0"/>
              <w:suppressLineNumbers w:val="0"/>
              <w:adjustRightInd w:val="0"/>
              <w:snapToGrid w:val="0"/>
              <w:spacing w:before="0" w:beforeAutospacing="0" w:after="0" w:afterAutospacing="0"/>
              <w:ind w:left="0" w:right="105" w:rightChars="50"/>
              <w:jc w:val="left"/>
              <w:rPr>
                <w:rFonts w:hint="default" w:ascii="仿宋" w:hAnsi="仿宋" w:eastAsia="仿宋" w:cs="仿宋"/>
                <w:color w:val="auto"/>
                <w:sz w:val="28"/>
                <w:szCs w:val="28"/>
                <w:highlight w:val="none"/>
              </w:rPr>
            </w:pPr>
          </w:p>
        </w:tc>
        <w:tc>
          <w:tcPr>
            <w:tcW w:w="1948"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rPr>
            </w:pPr>
          </w:p>
          <w:p>
            <w:pPr>
              <w:keepNext w:val="0"/>
              <w:keepLines w:val="0"/>
              <w:suppressLineNumbers w:val="0"/>
              <w:adjustRightInd w:val="0"/>
              <w:snapToGrid w:val="0"/>
              <w:spacing w:before="0" w:beforeAutospacing="0" w:after="0" w:afterAutospacing="0"/>
              <w:ind w:left="0" w:right="105" w:rightChars="50"/>
              <w:jc w:val="left"/>
              <w:rPr>
                <w:rFonts w:hint="default" w:ascii="仿宋" w:hAnsi="仿宋" w:eastAsia="仿宋" w:cs="仿宋"/>
                <w:color w:val="auto"/>
                <w:sz w:val="28"/>
                <w:szCs w:val="28"/>
                <w:highlight w:val="none"/>
              </w:rPr>
            </w:pPr>
          </w:p>
        </w:tc>
        <w:tc>
          <w:tcPr>
            <w:tcW w:w="1523"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仿宋"/>
                <w:color w:val="auto"/>
                <w:sz w:val="28"/>
                <w:szCs w:val="28"/>
                <w:highlight w:val="none"/>
              </w:rPr>
            </w:pPr>
          </w:p>
        </w:tc>
        <w:tc>
          <w:tcPr>
            <w:tcW w:w="1101"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仿宋"/>
                <w:color w:val="auto"/>
                <w:sz w:val="28"/>
                <w:szCs w:val="28"/>
                <w:highlight w:val="none"/>
              </w:rPr>
            </w:pPr>
          </w:p>
        </w:tc>
      </w:tr>
    </w:tbl>
    <w:p>
      <w:pPr>
        <w:adjustRightInd w:val="0"/>
        <w:snapToGrid w:val="0"/>
        <w:spacing w:line="360" w:lineRule="auto"/>
        <w:ind w:right="105" w:rightChars="50"/>
        <w:jc w:val="left"/>
        <w:rPr>
          <w:rFonts w:ascii="仿宋" w:hAnsi="仿宋" w:eastAsia="仿宋" w:cs="仿宋"/>
          <w:color w:val="auto"/>
          <w:sz w:val="28"/>
          <w:szCs w:val="28"/>
          <w:highlight w:val="none"/>
        </w:rPr>
      </w:pPr>
    </w:p>
    <w:p>
      <w:pPr>
        <w:adjustRightInd w:val="0"/>
        <w:snapToGrid w:val="0"/>
        <w:spacing w:line="360" w:lineRule="auto"/>
        <w:ind w:right="105" w:rightChars="50"/>
        <w:jc w:val="left"/>
        <w:rPr>
          <w:rFonts w:ascii="仿宋" w:hAnsi="仿宋" w:eastAsia="仿宋" w:cs="仿宋"/>
          <w:color w:val="auto"/>
          <w:sz w:val="28"/>
          <w:szCs w:val="28"/>
          <w:highlight w:val="none"/>
        </w:rPr>
      </w:pPr>
    </w:p>
    <w:p>
      <w:pPr>
        <w:adjustRightInd w:val="0"/>
        <w:snapToGrid w:val="0"/>
        <w:spacing w:line="360" w:lineRule="auto"/>
        <w:ind w:right="105" w:rightChars="50"/>
        <w:jc w:val="left"/>
        <w:rPr>
          <w:rFonts w:ascii="仿宋" w:hAnsi="仿宋" w:eastAsia="仿宋" w:cs="仿宋"/>
          <w:color w:val="auto"/>
          <w:sz w:val="28"/>
          <w:szCs w:val="28"/>
          <w:highlight w:val="none"/>
        </w:rPr>
      </w:pPr>
    </w:p>
    <w:p>
      <w:pPr>
        <w:jc w:val="left"/>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u w:val="single"/>
        </w:rPr>
        <w:br w:type="page"/>
      </w:r>
    </w:p>
    <w:p>
      <w:pPr>
        <w:pStyle w:val="5"/>
        <w:numPr>
          <w:ilvl w:val="0"/>
          <w:numId w:val="0"/>
        </w:numPr>
        <w:adjustRightInd w:val="0"/>
        <w:snapToGrid w:val="0"/>
        <w:jc w:val="both"/>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附件二：廉政合同</w:t>
      </w: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廉政合同格式</w:t>
      </w:r>
      <w:bookmarkEnd w:id="17"/>
    </w:p>
    <w:p>
      <w:pPr>
        <w:jc w:val="center"/>
        <w:rPr>
          <w:rFonts w:ascii="仿宋_GB2312" w:hAnsi="仿宋_GB2312" w:eastAsia="仿宋_GB2312" w:cs="仿宋_GB2312"/>
          <w:b/>
          <w:bCs/>
          <w:color w:val="auto"/>
          <w:sz w:val="28"/>
          <w:szCs w:val="28"/>
          <w:highlight w:val="none"/>
        </w:rPr>
      </w:pP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项目名称：肇庆盈德油站项目</w:t>
      </w: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项目地址：肇庆市119区肇庆大道北侧</w:t>
      </w: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甲方：肇庆盈德企业管理有限公司</w:t>
      </w: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乙方：</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加强项目建设中的廉政建设，规范项目承发包双方的各项活动，防止发生各种谋取不正当利益的违法违纪行为，保护政府、集体和当事人的合法权益，根据政府有关招标项目的法律法规和廉政建设责任制规定，特订立本廉政合同。</w:t>
      </w: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第一条　双方的责任</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(一)应严格遵守政府关于市场准入、项目招标投标和市场活动等有关法律、法规，相关政策，以及廉政建设的各项规定。</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(二)严格执行招标项目合同文件，自觉按合同办事。</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(三)业务活动必须坚持公开、公平、公正、诚信、透明的原则(除法律法规另有规定者外)，不得为获取不正当的利益，损害政府、集体和对方利益，不得违反相关规章制度。</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(四)发现对方在业务活动中有违规、违纪、违法行为的，应及时提醒对方，情节严重的，应向其上级主管部门或纪检监察、司法等有关机关举报。</w:t>
      </w: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第二条　甲方的责任</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甲方的领导和从事该招标项目的工作人员，在招标项目的事前、事中、事后应遵守以下规定：</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(一)不准向乙方和相关单位索要或接受回扣、礼金、有价证券、贵重物品和好处费、感谢费等。</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(二)不准在乙方和相关单位报销任何应由甲方或个人支付的费用。</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(三)不准要求、暗示和接受乙方和相关单位为个人装修住房、婚丧嫁娶、配偶子女的工作安排以及出国(境)、旅游等提供方便。</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(四)不准参加有可能影响公正执行公务的乙方和相关单位的宴请和健身、娱乐等活动。</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不准向乙方介绍或为配偶、子女、亲属参与同招标相关项目合同有关的设备、材料、工程分包、劳务等经济活动。不得以任何理由向乙方和相关单位推荐分包单位和要求乙方购买项目工程施工合同规定以外的材料、设备等。</w:t>
      </w: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第三条　乙方的责任</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应与甲方保持正常的业务交往，按照有关法律法规和程序开展业务工作，严格执行工程建设的有关方针、政策，尤其是有关建筑施工安装的强制性标准和规范，并遵守以下规定：</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(一)不准以任何理由向甲方、相关单位及其工作人员索要、接受或赠送礼金、有价证券、贵重物品和回扣、好处费、感谢费等。</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(二)不准以任何理由为甲方和相关单位报销应由对方或个人支付的费用。</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(三)不准接受或暗示为甲方、相关单位或个人装修住房、婚丧嫁娶、配偶子女的工作安排以及出国(境)、旅游等提供方便。</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(四)不准以任何理由为甲方、相关单位或个人组织有可能影响公正执行公务的宴请、健身、娱乐等活动。</w:t>
      </w:r>
    </w:p>
    <w:p>
      <w:pPr>
        <w:adjustRightInd w:val="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第四条　违约责任</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工作人员有违反本合同第一、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工作人员有违反本合同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第五条　本合同作为招标代理合同的附件，与招标代理合同具有同等法律效力。经双方签署后立即生效。</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第六条　本合同的有效期为双方签署之日起至盈德油站相关招标代理项目结束及档案移交至甲方时止。</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第七条本合同正本贰份，双方各执壹份，具有同等法律效力；副本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份。当副本与正本不一致时，以正本为准。</w:t>
      </w:r>
    </w:p>
    <w:p>
      <w:pPr>
        <w:spacing w:line="420" w:lineRule="auto"/>
        <w:ind w:firstLine="560" w:firstLineChars="200"/>
        <w:rPr>
          <w:rFonts w:ascii="仿宋_GB2312" w:hAnsi="仿宋_GB2312" w:eastAsia="仿宋_GB2312" w:cs="仿宋_GB2312"/>
          <w:color w:val="auto"/>
          <w:sz w:val="28"/>
          <w:szCs w:val="28"/>
          <w:highlight w:val="none"/>
        </w:rPr>
      </w:pPr>
    </w:p>
    <w:p>
      <w:pPr>
        <w:spacing w:line="420" w:lineRule="auto"/>
        <w:ind w:firstLine="560" w:firstLineChars="200"/>
        <w:rPr>
          <w:rFonts w:ascii="仿宋_GB2312" w:hAnsi="仿宋_GB2312" w:eastAsia="仿宋_GB2312" w:cs="仿宋_GB2312"/>
          <w:color w:val="auto"/>
          <w:sz w:val="28"/>
          <w:szCs w:val="28"/>
          <w:highlight w:val="none"/>
        </w:rPr>
      </w:pPr>
    </w:p>
    <w:tbl>
      <w:tblPr>
        <w:tblStyle w:val="18"/>
        <w:tblW w:w="0" w:type="auto"/>
        <w:jc w:val="center"/>
        <w:tblLayout w:type="fixed"/>
        <w:tblCellMar>
          <w:top w:w="0" w:type="dxa"/>
          <w:left w:w="108" w:type="dxa"/>
          <w:bottom w:w="0" w:type="dxa"/>
          <w:right w:w="108" w:type="dxa"/>
        </w:tblCellMar>
      </w:tblPr>
      <w:tblGrid>
        <w:gridCol w:w="2105"/>
        <w:gridCol w:w="360"/>
        <w:gridCol w:w="2127"/>
        <w:gridCol w:w="2137"/>
        <w:gridCol w:w="236"/>
        <w:gridCol w:w="1951"/>
      </w:tblGrid>
      <w:tr>
        <w:tblPrEx>
          <w:tblCellMar>
            <w:top w:w="0" w:type="dxa"/>
            <w:left w:w="108" w:type="dxa"/>
            <w:bottom w:w="0" w:type="dxa"/>
            <w:right w:w="108" w:type="dxa"/>
          </w:tblCellMar>
        </w:tblPrEx>
        <w:trPr>
          <w:trHeight w:val="537" w:hRule="atLeast"/>
          <w:jc w:val="center"/>
        </w:trPr>
        <w:tc>
          <w:tcPr>
            <w:tcW w:w="2105"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甲方（盖章）</w:t>
            </w:r>
          </w:p>
        </w:tc>
        <w:tc>
          <w:tcPr>
            <w:tcW w:w="360"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127" w:type="dxa"/>
            <w:vAlign w:val="center"/>
          </w:tcPr>
          <w:p>
            <w:pPr>
              <w:pStyle w:val="32"/>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p>
        </w:tc>
        <w:tc>
          <w:tcPr>
            <w:tcW w:w="2137"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乙方（盖章）</w:t>
            </w:r>
          </w:p>
        </w:tc>
        <w:tc>
          <w:tcPr>
            <w:tcW w:w="236"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951" w:type="dxa"/>
            <w:vAlign w:val="center"/>
          </w:tcPr>
          <w:p>
            <w:pPr>
              <w:pStyle w:val="32"/>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p>
        </w:tc>
      </w:tr>
      <w:tr>
        <w:tblPrEx>
          <w:tblCellMar>
            <w:top w:w="0" w:type="dxa"/>
            <w:left w:w="108" w:type="dxa"/>
            <w:bottom w:w="0" w:type="dxa"/>
            <w:right w:w="108" w:type="dxa"/>
          </w:tblCellMar>
        </w:tblPrEx>
        <w:trPr>
          <w:trHeight w:val="785" w:hRule="exact"/>
          <w:jc w:val="center"/>
        </w:trPr>
        <w:tc>
          <w:tcPr>
            <w:tcW w:w="2105" w:type="dxa"/>
            <w:vAlign w:val="center"/>
          </w:tcPr>
          <w:p>
            <w:pPr>
              <w:keepNext w:val="0"/>
              <w:keepLines w:val="0"/>
              <w:suppressLineNumbers w:val="0"/>
              <w:spacing w:before="0" w:beforeAutospacing="0" w:after="0" w:afterAutospacing="0" w:line="360" w:lineRule="exact"/>
              <w:ind w:left="0" w:right="0"/>
              <w:jc w:val="distribut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p>
        </w:tc>
        <w:tc>
          <w:tcPr>
            <w:tcW w:w="360"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p>
        </w:tc>
        <w:tc>
          <w:tcPr>
            <w:tcW w:w="2127"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p>
        </w:tc>
        <w:tc>
          <w:tcPr>
            <w:tcW w:w="2137"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p>
        </w:tc>
        <w:tc>
          <w:tcPr>
            <w:tcW w:w="236"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p>
        </w:tc>
        <w:tc>
          <w:tcPr>
            <w:tcW w:w="1951"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p>
        </w:tc>
      </w:tr>
      <w:tr>
        <w:tblPrEx>
          <w:tblCellMar>
            <w:top w:w="0" w:type="dxa"/>
            <w:left w:w="108" w:type="dxa"/>
            <w:bottom w:w="0" w:type="dxa"/>
            <w:right w:w="108" w:type="dxa"/>
          </w:tblCellMar>
        </w:tblPrEx>
        <w:trPr>
          <w:trHeight w:val="680" w:hRule="exact"/>
          <w:jc w:val="center"/>
        </w:trPr>
        <w:tc>
          <w:tcPr>
            <w:tcW w:w="2105"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授</w:t>
            </w:r>
            <w:r>
              <w:rPr>
                <w:rFonts w:hint="eastAsia" w:ascii="仿宋_GB2312" w:hAnsi="仿宋_GB2312" w:eastAsia="仿宋_GB2312" w:cs="仿宋_GB2312"/>
                <w:color w:val="auto"/>
                <w:sz w:val="28"/>
                <w:szCs w:val="28"/>
                <w:highlight w:val="none"/>
              </w:rPr>
              <w:t>权代理人（签字）</w:t>
            </w:r>
          </w:p>
        </w:tc>
        <w:tc>
          <w:tcPr>
            <w:tcW w:w="360"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127"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c>
          <w:tcPr>
            <w:tcW w:w="2137"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授权代理人（签字）</w:t>
            </w:r>
          </w:p>
        </w:tc>
        <w:tc>
          <w:tcPr>
            <w:tcW w:w="236"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951"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r>
      <w:tr>
        <w:tblPrEx>
          <w:tblCellMar>
            <w:top w:w="0" w:type="dxa"/>
            <w:left w:w="108" w:type="dxa"/>
            <w:bottom w:w="0" w:type="dxa"/>
            <w:right w:w="108" w:type="dxa"/>
          </w:tblCellMar>
        </w:tblPrEx>
        <w:trPr>
          <w:trHeight w:val="680" w:hRule="exact"/>
          <w:jc w:val="center"/>
        </w:trPr>
        <w:tc>
          <w:tcPr>
            <w:tcW w:w="2105"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p>
        </w:tc>
        <w:tc>
          <w:tcPr>
            <w:tcW w:w="360"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p>
        </w:tc>
        <w:tc>
          <w:tcPr>
            <w:tcW w:w="2127"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c>
          <w:tcPr>
            <w:tcW w:w="2137"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p>
        </w:tc>
        <w:tc>
          <w:tcPr>
            <w:tcW w:w="236"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p>
        </w:tc>
        <w:tc>
          <w:tcPr>
            <w:tcW w:w="1951"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r>
      <w:tr>
        <w:tblPrEx>
          <w:tblCellMar>
            <w:top w:w="0" w:type="dxa"/>
            <w:left w:w="108" w:type="dxa"/>
            <w:bottom w:w="0" w:type="dxa"/>
            <w:right w:w="108" w:type="dxa"/>
          </w:tblCellMar>
        </w:tblPrEx>
        <w:trPr>
          <w:trHeight w:val="680" w:hRule="exact"/>
          <w:jc w:val="center"/>
        </w:trPr>
        <w:tc>
          <w:tcPr>
            <w:tcW w:w="2105"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监督</w:t>
            </w:r>
          </w:p>
        </w:tc>
        <w:tc>
          <w:tcPr>
            <w:tcW w:w="360"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127"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c>
          <w:tcPr>
            <w:tcW w:w="2137"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监督</w:t>
            </w:r>
          </w:p>
        </w:tc>
        <w:tc>
          <w:tcPr>
            <w:tcW w:w="236"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951"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r>
      <w:tr>
        <w:tblPrEx>
          <w:tblCellMar>
            <w:top w:w="0" w:type="dxa"/>
            <w:left w:w="108" w:type="dxa"/>
            <w:bottom w:w="0" w:type="dxa"/>
            <w:right w:w="108" w:type="dxa"/>
          </w:tblCellMar>
        </w:tblPrEx>
        <w:trPr>
          <w:trHeight w:val="680" w:hRule="exact"/>
          <w:jc w:val="center"/>
        </w:trPr>
        <w:tc>
          <w:tcPr>
            <w:tcW w:w="2105"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360"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127"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c>
          <w:tcPr>
            <w:tcW w:w="2137"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236"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951"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r>
      <w:tr>
        <w:tblPrEx>
          <w:tblCellMar>
            <w:top w:w="0" w:type="dxa"/>
            <w:left w:w="108" w:type="dxa"/>
            <w:bottom w:w="0" w:type="dxa"/>
            <w:right w:w="108" w:type="dxa"/>
          </w:tblCellMar>
        </w:tblPrEx>
        <w:trPr>
          <w:trHeight w:val="680" w:hRule="exact"/>
          <w:jc w:val="center"/>
        </w:trPr>
        <w:tc>
          <w:tcPr>
            <w:tcW w:w="2105"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tc>
        <w:tc>
          <w:tcPr>
            <w:tcW w:w="360"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127"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c>
          <w:tcPr>
            <w:tcW w:w="2137" w:type="dxa"/>
            <w:vAlign w:val="center"/>
          </w:tcPr>
          <w:p>
            <w:pPr>
              <w:keepNext w:val="0"/>
              <w:keepLines w:val="0"/>
              <w:suppressLineNumbers w:val="0"/>
              <w:spacing w:before="0" w:beforeAutospacing="0" w:after="0" w:afterAutospacing="0" w:line="36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p>
        </w:tc>
        <w:tc>
          <w:tcPr>
            <w:tcW w:w="236"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951" w:type="dxa"/>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color w:val="auto"/>
                <w:sz w:val="28"/>
                <w:szCs w:val="28"/>
                <w:highlight w:val="none"/>
                <w:u w:val="single"/>
              </w:rPr>
            </w:pPr>
          </w:p>
        </w:tc>
      </w:tr>
      <w:tr>
        <w:tblPrEx>
          <w:tblCellMar>
            <w:top w:w="0" w:type="dxa"/>
            <w:left w:w="108" w:type="dxa"/>
            <w:bottom w:w="0" w:type="dxa"/>
            <w:right w:w="108" w:type="dxa"/>
          </w:tblCellMar>
        </w:tblPrEx>
        <w:trPr>
          <w:trHeight w:val="680" w:hRule="exact"/>
          <w:jc w:val="center"/>
        </w:trPr>
        <w:tc>
          <w:tcPr>
            <w:tcW w:w="2105" w:type="dxa"/>
            <w:vAlign w:val="center"/>
          </w:tcPr>
          <w:p>
            <w:pPr>
              <w:keepNext w:val="0"/>
              <w:keepLines w:val="0"/>
              <w:suppressLineNumbers w:val="0"/>
              <w:spacing w:before="0" w:beforeAutospacing="0" w:after="0" w:afterAutospacing="0" w:line="40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签约日期</w:t>
            </w:r>
          </w:p>
        </w:tc>
        <w:tc>
          <w:tcPr>
            <w:tcW w:w="360" w:type="dxa"/>
            <w:vAlign w:val="center"/>
          </w:tcPr>
          <w:p>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127" w:type="dxa"/>
            <w:vAlign w:val="center"/>
          </w:tcPr>
          <w:p>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color w:val="auto"/>
                <w:sz w:val="28"/>
                <w:szCs w:val="28"/>
                <w:highlight w:val="none"/>
                <w:u w:val="single"/>
              </w:rPr>
            </w:pPr>
          </w:p>
        </w:tc>
        <w:tc>
          <w:tcPr>
            <w:tcW w:w="2137" w:type="dxa"/>
            <w:vAlign w:val="center"/>
          </w:tcPr>
          <w:p>
            <w:pPr>
              <w:keepNext w:val="0"/>
              <w:keepLines w:val="0"/>
              <w:suppressLineNumbers w:val="0"/>
              <w:spacing w:before="0" w:beforeAutospacing="0" w:after="0" w:afterAutospacing="0" w:line="400" w:lineRule="exact"/>
              <w:ind w:left="0" w:right="0"/>
              <w:jc w:val="distribute"/>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签约日期</w:t>
            </w:r>
          </w:p>
        </w:tc>
        <w:tc>
          <w:tcPr>
            <w:tcW w:w="236" w:type="dxa"/>
            <w:vAlign w:val="center"/>
          </w:tcPr>
          <w:p>
            <w:pPr>
              <w:keepNext w:val="0"/>
              <w:keepLines w:val="0"/>
              <w:suppressLineNumbers w:val="0"/>
              <w:spacing w:before="0" w:beforeAutospacing="0" w:after="0" w:afterAutospacing="0" w:line="400" w:lineRule="exact"/>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951"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u w:val="single"/>
              </w:rPr>
            </w:pPr>
          </w:p>
        </w:tc>
      </w:tr>
    </w:tbl>
    <w:p>
      <w:pPr>
        <w:tabs>
          <w:tab w:val="left" w:pos="1356"/>
        </w:tabs>
        <w:spacing w:line="360" w:lineRule="auto"/>
        <w:rPr>
          <w:rFonts w:ascii="仿宋_GB2312" w:hAnsi="仿宋_GB2312" w:eastAsia="仿宋_GB2312" w:cs="仿宋_GB2312"/>
          <w:color w:val="auto"/>
          <w:sz w:val="28"/>
          <w:szCs w:val="28"/>
          <w:highlight w:val="none"/>
        </w:rPr>
      </w:pPr>
    </w:p>
    <w:p>
      <w:pPr>
        <w:pStyle w:val="5"/>
        <w:numPr>
          <w:ilvl w:val="0"/>
          <w:numId w:val="0"/>
        </w:numPr>
        <w:adjustRightInd w:val="0"/>
        <w:snapToGrid w:val="0"/>
        <w:rPr>
          <w:rFonts w:ascii="仿宋_GB2312" w:hAnsi="仿宋_GB2312" w:eastAsia="仿宋_GB2312" w:cs="仿宋_GB2312"/>
          <w:bCs/>
          <w:color w:val="auto"/>
          <w:sz w:val="28"/>
          <w:szCs w:val="28"/>
          <w:highlight w:val="none"/>
        </w:rPr>
        <w:sectPr>
          <w:footnotePr>
            <w:numRestart w:val="eachPage"/>
          </w:footnotePr>
          <w:pgSz w:w="11907" w:h="16840"/>
          <w:pgMar w:top="1440" w:right="1440" w:bottom="1440" w:left="1440" w:header="851" w:footer="992" w:gutter="0"/>
          <w:pgBorders>
            <w:top w:val="none" w:sz="0" w:space="0"/>
            <w:left w:val="none" w:sz="0" w:space="0"/>
            <w:bottom w:val="none" w:sz="0" w:space="0"/>
            <w:right w:val="none" w:sz="0" w:space="0"/>
          </w:pgBorders>
          <w:cols w:space="720" w:num="1"/>
        </w:sectPr>
      </w:pPr>
    </w:p>
    <w:p>
      <w:pPr>
        <w:rPr>
          <w:rFonts w:ascii="仿宋_GB2312" w:hAnsi="仿宋_GB2312" w:eastAsia="仿宋_GB2312" w:cs="仿宋_GB2312"/>
          <w:color w:val="auto"/>
          <w:sz w:val="28"/>
          <w:szCs w:val="28"/>
          <w:highlight w:val="none"/>
        </w:rPr>
      </w:pPr>
      <w:bookmarkStart w:id="18" w:name="_Toc23563"/>
      <w:bookmarkStart w:id="19" w:name="_Toc25076"/>
      <w:bookmarkStart w:id="20" w:name="_Toc16107_WPSOffice_Level1"/>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ind w:firstLine="2891" w:firstLineChars="9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第六章 投标文件内容及格式</w:t>
      </w:r>
      <w:bookmarkEnd w:id="18"/>
      <w:bookmarkEnd w:id="19"/>
      <w:bookmarkEnd w:id="20"/>
    </w:p>
    <w:p>
      <w:pPr>
        <w:ind w:firstLine="562" w:firstLineChars="200"/>
        <w:rPr>
          <w:rFonts w:ascii="仿宋_GB2312" w:hAnsi="仿宋_GB2312" w:eastAsia="仿宋_GB2312" w:cs="仿宋_GB2312"/>
          <w:b/>
          <w:color w:val="auto"/>
          <w:sz w:val="28"/>
          <w:szCs w:val="28"/>
          <w:highlight w:val="none"/>
        </w:rPr>
      </w:pPr>
      <w:bookmarkStart w:id="21" w:name="sys_投标文件内容及格式：Block"/>
      <w:bookmarkEnd w:id="21"/>
      <w:bookmarkStart w:id="22" w:name="投标文件内容及格式：Block"/>
      <w:bookmarkEnd w:id="22"/>
    </w:p>
    <w:p>
      <w:pPr>
        <w:adjustRightInd w:val="0"/>
        <w:snapToGrid w:val="0"/>
        <w:spacing w:line="360" w:lineRule="auto"/>
        <w:ind w:firstLine="560" w:firstLineChars="200"/>
        <w:rPr>
          <w:rFonts w:ascii="仿宋_GB2312" w:hAnsi="仿宋_GB2312" w:eastAsia="仿宋_GB2312" w:cs="仿宋_GB2312"/>
          <w:color w:val="auto"/>
          <w:sz w:val="28"/>
          <w:szCs w:val="28"/>
          <w:highlight w:val="none"/>
        </w:rPr>
      </w:pPr>
    </w:p>
    <w:p>
      <w:pPr>
        <w:adjustRightInd w:val="0"/>
        <w:snapToGrid w:val="0"/>
        <w:spacing w:line="360" w:lineRule="auto"/>
        <w:ind w:firstLine="560" w:firstLineChars="200"/>
        <w:rPr>
          <w:rFonts w:ascii="仿宋_GB2312" w:hAnsi="仿宋_GB2312" w:eastAsia="仿宋_GB2312" w:cs="仿宋_GB2312"/>
          <w:color w:val="auto"/>
          <w:kern w:val="0"/>
          <w:sz w:val="28"/>
          <w:szCs w:val="28"/>
          <w:highlight w:val="none"/>
        </w:rPr>
      </w:pPr>
    </w:p>
    <w:p>
      <w:pPr>
        <w:snapToGrid w:val="0"/>
        <w:spacing w:line="276" w:lineRule="auto"/>
        <w:ind w:firstLine="560" w:firstLineChars="200"/>
        <w:jc w:val="left"/>
        <w:rPr>
          <w:rFonts w:ascii="仿宋_GB2312" w:hAnsi="仿宋_GB2312" w:eastAsia="仿宋_GB2312" w:cs="仿宋_GB2312"/>
          <w:color w:val="auto"/>
          <w:sz w:val="28"/>
          <w:szCs w:val="28"/>
          <w:highlight w:val="none"/>
        </w:rPr>
      </w:pPr>
    </w:p>
    <w:p>
      <w:pPr>
        <w:snapToGrid w:val="0"/>
        <w:spacing w:line="276" w:lineRule="auto"/>
        <w:ind w:firstLine="560" w:firstLineChars="200"/>
        <w:jc w:val="left"/>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rPr>
          <w:rFonts w:ascii="仿宋_GB2312" w:hAnsi="仿宋_GB2312" w:eastAsia="仿宋_GB2312" w:cs="仿宋_GB2312"/>
          <w:color w:val="auto"/>
          <w:sz w:val="28"/>
          <w:szCs w:val="28"/>
          <w:highlight w:val="none"/>
        </w:rPr>
      </w:pPr>
    </w:p>
    <w:p>
      <w:pPr>
        <w:tabs>
          <w:tab w:val="left" w:pos="6832"/>
        </w:tabs>
        <w:rPr>
          <w:rFonts w:ascii="仿宋_GB2312" w:hAnsi="仿宋_GB2312" w:eastAsia="仿宋_GB2312" w:cs="仿宋_GB2312"/>
          <w:color w:val="auto"/>
          <w:sz w:val="28"/>
          <w:szCs w:val="28"/>
          <w:highlight w:val="none"/>
        </w:rPr>
      </w:pPr>
      <w:r>
        <w:rPr>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4003675</wp:posOffset>
                </wp:positionH>
                <wp:positionV relativeFrom="paragraph">
                  <wp:posOffset>104140</wp:posOffset>
                </wp:positionV>
                <wp:extent cx="1253490" cy="563245"/>
                <wp:effectExtent l="5080" t="4445" r="17780" b="22860"/>
                <wp:wrapNone/>
                <wp:docPr id="1" name="文本框 1"/>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15.25pt;margin-top:8.2pt;height:44.35pt;width:98.7pt;z-index:251659264;mso-width-relative:page;mso-height-relative:page;" fillcolor="#FFFFFF" filled="t" stroked="t" coordsize="21600,21600" o:gfxdata="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DevENkAAAAKAQAADwAAAAAAAAAB&#10;ACAAAAAiAAAAZHJzL2Rvd25yZXYueG1sUEsBAhQAFAAAAAgAh07iQDaDirEPAgAARAQAAA4AAAAA&#10;AAAAAQAgAAAAKAEAAGRycy9lMm9Eb2MueG1sUEsFBgAAAAAGAAYAWQEAAKk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color w:val="auto"/>
          <w:sz w:val="28"/>
          <w:szCs w:val="28"/>
          <w:highlight w:val="none"/>
        </w:rPr>
        <w:tab/>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  标  文  件</w:t>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标段号：第  标段</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 ：</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目  录</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r>
        <w:rPr>
          <w:rFonts w:hint="eastAsia" w:ascii="仿宋_GB2312" w:hAnsi="仿宋_GB2312" w:eastAsia="仿宋_GB2312" w:cs="仿宋_GB2312"/>
          <w:color w:val="auto"/>
          <w:sz w:val="28"/>
          <w:szCs w:val="28"/>
          <w:highlight w:val="none"/>
        </w:rPr>
        <w:br w:type="page"/>
      </w:r>
    </w:p>
    <w:p>
      <w:pPr>
        <w:spacing w:before="312" w:beforeLines="100" w:after="312" w:afterLines="100"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投标函</w:t>
      </w:r>
    </w:p>
    <w:p>
      <w:pPr>
        <w:adjustRightInd w:val="0"/>
        <w:snapToGrid w:val="0"/>
        <w:spacing w:line="360" w:lineRule="auto"/>
        <w:ind w:right="630" w:rightChars="3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（招标人名称）</w:t>
      </w:r>
    </w:p>
    <w:p>
      <w:pPr>
        <w:adjustRightInd w:val="0"/>
        <w:snapToGrid w:val="0"/>
        <w:spacing w:line="360" w:lineRule="auto"/>
        <w:ind w:right="-21" w:rightChars="-1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1.我方已仔细研究了</w:t>
      </w:r>
      <w:r>
        <w:rPr>
          <w:rFonts w:hint="eastAsia" w:ascii="仿宋" w:hAnsi="仿宋" w:eastAsia="仿宋" w:cs="仿宋"/>
          <w:color w:val="auto"/>
          <w:sz w:val="28"/>
          <w:szCs w:val="28"/>
          <w:highlight w:val="none"/>
          <w:u w:val="single"/>
        </w:rPr>
        <w:t xml:space="preserve">                  （项目名称)</w:t>
      </w:r>
      <w:r>
        <w:rPr>
          <w:rFonts w:hint="eastAsia" w:ascii="仿宋" w:hAnsi="仿宋" w:eastAsia="仿宋" w:cs="仿宋"/>
          <w:color w:val="auto"/>
          <w:sz w:val="28"/>
          <w:szCs w:val="28"/>
          <w:highlight w:val="none"/>
        </w:rPr>
        <w:t>招标文件的全部内容,愿以</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rPr>
        <w:t>折扣率</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 w:hAnsi="仿宋" w:eastAsia="仿宋" w:cs="仿宋"/>
          <w:color w:val="auto"/>
          <w:sz w:val="28"/>
          <w:szCs w:val="28"/>
          <w:highlight w:val="none"/>
        </w:rPr>
        <w:t>的报价完成本项目并按合同约定履行义务。</w:t>
      </w:r>
    </w:p>
    <w:p>
      <w:pPr>
        <w:adjustRightInd w:val="0"/>
        <w:snapToGrid w:val="0"/>
        <w:spacing w:line="360" w:lineRule="auto"/>
        <w:ind w:right="-21" w:rightChars="-1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2.我方承诺，我方响应招标文件的全部要求。</w:t>
      </w:r>
    </w:p>
    <w:p>
      <w:pPr>
        <w:adjustRightInd w:val="0"/>
        <w:snapToGrid w:val="0"/>
        <w:spacing w:line="360" w:lineRule="auto"/>
        <w:ind w:right="-21" w:rightChars="-1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3.本项目投标有效期为自递交投标文件截止之日起</w:t>
      </w:r>
      <w:r>
        <w:rPr>
          <w:rFonts w:hint="eastAsia" w:ascii="仿宋" w:hAnsi="仿宋" w:eastAsia="仿宋" w:cs="仿宋"/>
          <w:color w:val="auto"/>
          <w:sz w:val="28"/>
          <w:szCs w:val="28"/>
          <w:highlight w:val="none"/>
          <w:u w:val="single"/>
        </w:rPr>
        <w:t>90</w:t>
      </w:r>
      <w:r>
        <w:rPr>
          <w:rFonts w:hint="eastAsia" w:ascii="仿宋" w:hAnsi="仿宋" w:eastAsia="仿宋" w:cs="仿宋"/>
          <w:color w:val="auto"/>
          <w:sz w:val="28"/>
          <w:szCs w:val="28"/>
          <w:highlight w:val="none"/>
        </w:rPr>
        <w:t>日历日。</w:t>
      </w:r>
    </w:p>
    <w:p>
      <w:pPr>
        <w:pStyle w:val="23"/>
        <w:rPr>
          <w:rFonts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rPr>
        <w:t>4.我方承诺在投标有效期内不撤销投标文件。</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5.我方完全理解你方不一定接受最低报价的投标文件或收到的任何投标文件。</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6.如我方中标，我方承诺：</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（1）在收到中标通知书后，在招标文件规定的时间期限内与你方签订合同。</w:t>
      </w:r>
    </w:p>
    <w:p>
      <w:pPr>
        <w:pStyle w:val="23"/>
        <w:rPr>
          <w:rFonts w:ascii="仿宋" w:hAnsi="仿宋" w:eastAsia="仿宋" w:cs="仿宋"/>
          <w:color w:val="auto"/>
          <w:spacing w:val="0"/>
          <w:kern w:val="2"/>
          <w:sz w:val="28"/>
          <w:szCs w:val="28"/>
          <w:highlight w:val="none"/>
        </w:rPr>
      </w:pPr>
      <w:r>
        <w:rPr>
          <w:rFonts w:hint="eastAsia" w:ascii="仿宋" w:hAnsi="仿宋" w:eastAsia="仿宋" w:cs="仿宋"/>
          <w:color w:val="auto"/>
          <w:spacing w:val="0"/>
          <w:kern w:val="2"/>
          <w:sz w:val="28"/>
          <w:szCs w:val="28"/>
          <w:highlight w:val="none"/>
        </w:rPr>
        <w:t>（2）在签订合同时不向你方提出附加条件。</w:t>
      </w:r>
    </w:p>
    <w:p>
      <w:pPr>
        <w:pStyle w:val="24"/>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（3）按照招标文件的要求递交履约保证金。</w:t>
      </w:r>
    </w:p>
    <w:p>
      <w:pPr>
        <w:pStyle w:val="24"/>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（4）在合同期限内完成合同规定的全部义务。</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7.我方在此声明，所递交的投标文件及有关资料内容完整、真实和准确，且不存在招标文件中投标人不得存在的情形。</w:t>
      </w:r>
    </w:p>
    <w:p>
      <w:pPr>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（其他补充说明）。</w:t>
      </w:r>
    </w:p>
    <w:p>
      <w:pPr>
        <w:snapToGrid w:val="0"/>
        <w:spacing w:line="360" w:lineRule="auto"/>
        <w:ind w:right="1050" w:rightChars="500"/>
        <w:rPr>
          <w:rFonts w:ascii="仿宋" w:hAnsi="仿宋" w:eastAsia="仿宋" w:cs="仿宋"/>
          <w:color w:val="auto"/>
          <w:sz w:val="28"/>
          <w:szCs w:val="28"/>
          <w:highlight w:val="none"/>
        </w:rPr>
      </w:pPr>
    </w:p>
    <w:p>
      <w:pPr>
        <w:snapToGrid w:val="0"/>
        <w:spacing w:line="360" w:lineRule="auto"/>
        <w:ind w:right="1050" w:rightChars="5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投标人名称（加盖单位公章）: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snapToGrid w:val="0"/>
        <w:spacing w:line="360" w:lineRule="auto"/>
        <w:ind w:right="1050" w:rightChars="5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法定代表人或其授权委托人 (签字或盖章)：</w:t>
      </w:r>
      <w:r>
        <w:rPr>
          <w:rFonts w:hint="eastAsia" w:ascii="仿宋_GB2312" w:hAnsi="仿宋_GB2312" w:eastAsia="仿宋_GB2312" w:cs="仿宋_GB2312"/>
          <w:color w:val="auto"/>
          <w:sz w:val="28"/>
          <w:szCs w:val="28"/>
          <w:highlight w:val="none"/>
          <w:u w:val="single"/>
        </w:rPr>
        <w:t xml:space="preserve">        </w:t>
      </w:r>
    </w:p>
    <w:p>
      <w:pPr>
        <w:snapToGrid w:val="0"/>
        <w:spacing w:line="360" w:lineRule="auto"/>
        <w:ind w:right="1050" w:rightChars="5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p>
    <w:p>
      <w:pPr>
        <w:spacing w:line="360" w:lineRule="exact"/>
        <w:ind w:right="1050" w:rightChars="500" w:firstLine="635" w:firstLineChars="227"/>
        <w:rPr>
          <w:rFonts w:ascii="仿宋_GB2312" w:hAnsi="仿宋_GB2312" w:eastAsia="仿宋_GB2312" w:cs="仿宋_GB2312"/>
          <w:color w:val="auto"/>
          <w:sz w:val="28"/>
          <w:szCs w:val="28"/>
          <w:highlight w:val="none"/>
        </w:rPr>
      </w:pPr>
    </w:p>
    <w:p>
      <w:pPr>
        <w:adjustRightInd w:val="0"/>
        <w:snapToGrid w:val="0"/>
        <w:spacing w:line="360" w:lineRule="auto"/>
        <w:ind w:right="1050" w:rightChars="500" w:firstLine="635" w:firstLineChars="227"/>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报价一览表</w:t>
      </w:r>
    </w:p>
    <w:p>
      <w:pPr>
        <w:adjustRightInd w:val="0"/>
        <w:snapToGrid w:val="0"/>
        <w:spacing w:line="360" w:lineRule="auto"/>
        <w:ind w:right="105" w:rightChars="50"/>
        <w:jc w:val="righ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报价单位：折扣率</w:t>
      </w:r>
    </w:p>
    <w:tbl>
      <w:tblPr>
        <w:tblStyle w:val="18"/>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63"/>
        <w:gridCol w:w="1948"/>
        <w:gridCol w:w="152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标段号</w:t>
            </w:r>
          </w:p>
        </w:tc>
        <w:tc>
          <w:tcPr>
            <w:tcW w:w="2563"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招标项目名称</w:t>
            </w:r>
          </w:p>
        </w:tc>
        <w:tc>
          <w:tcPr>
            <w:tcW w:w="1948"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rPr>
              <w:t>折扣率</w:t>
            </w:r>
          </w:p>
          <w:p>
            <w:pPr>
              <w:keepNext w:val="0"/>
              <w:keepLines w:val="0"/>
              <w:suppressLineNumbers w:val="0"/>
              <w:adjustRightInd w:val="0"/>
              <w:snapToGrid w:val="0"/>
              <w:spacing w:before="0" w:beforeAutospacing="0" w:after="0" w:afterAutospacing="0"/>
              <w:ind w:left="-86" w:leftChars="-41" w:right="-67" w:rightChars="-32"/>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w:t>
            </w:r>
          </w:p>
        </w:tc>
        <w:tc>
          <w:tcPr>
            <w:tcW w:w="1523"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服务期</w:t>
            </w:r>
          </w:p>
        </w:tc>
        <w:tc>
          <w:tcPr>
            <w:tcW w:w="1101" w:type="dxa"/>
            <w:vAlign w:val="center"/>
          </w:tcPr>
          <w:p>
            <w:pPr>
              <w:keepNext w:val="0"/>
              <w:keepLines w:val="0"/>
              <w:suppressLineNumbers w:val="0"/>
              <w:adjustRightInd w:val="0"/>
              <w:snapToGrid w:val="0"/>
              <w:spacing w:before="0" w:beforeAutospacing="0" w:after="0" w:afterAutospacing="0"/>
              <w:ind w:left="-86" w:leftChars="-41" w:right="-67" w:rightChars="-32"/>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vAlign w:val="center"/>
          </w:tcPr>
          <w:p>
            <w:pPr>
              <w:keepNext w:val="0"/>
              <w:keepLines w:val="0"/>
              <w:suppressLineNumbers w:val="0"/>
              <w:adjustRightInd w:val="0"/>
              <w:snapToGrid w:val="0"/>
              <w:spacing w:before="0" w:beforeAutospacing="0" w:after="0" w:afterAutospacing="0"/>
              <w:ind w:left="0" w:right="105" w:rightChars="50"/>
              <w:jc w:val="left"/>
              <w:rPr>
                <w:rFonts w:hint="default" w:ascii="仿宋_GB2312" w:hAnsi="仿宋_GB2312" w:eastAsia="仿宋_GB2312" w:cs="仿宋_GB2312"/>
                <w:color w:val="auto"/>
                <w:sz w:val="28"/>
                <w:szCs w:val="28"/>
                <w:highlight w:val="none"/>
              </w:rPr>
            </w:pPr>
          </w:p>
        </w:tc>
        <w:tc>
          <w:tcPr>
            <w:tcW w:w="2563" w:type="dxa"/>
            <w:vAlign w:val="center"/>
          </w:tcPr>
          <w:p>
            <w:pPr>
              <w:keepNext w:val="0"/>
              <w:keepLines w:val="0"/>
              <w:suppressLineNumbers w:val="0"/>
              <w:adjustRightInd w:val="0"/>
              <w:snapToGrid w:val="0"/>
              <w:spacing w:before="0" w:beforeAutospacing="0" w:after="0" w:afterAutospacing="0"/>
              <w:ind w:left="0" w:right="105" w:rightChars="50"/>
              <w:jc w:val="left"/>
              <w:rPr>
                <w:rFonts w:hint="default" w:ascii="仿宋_GB2312" w:hAnsi="仿宋_GB2312" w:eastAsia="仿宋_GB2312" w:cs="仿宋_GB2312"/>
                <w:color w:val="auto"/>
                <w:sz w:val="28"/>
                <w:szCs w:val="28"/>
                <w:highlight w:val="none"/>
              </w:rPr>
            </w:pPr>
          </w:p>
        </w:tc>
        <w:tc>
          <w:tcPr>
            <w:tcW w:w="1948" w:type="dxa"/>
            <w:vAlign w:val="center"/>
          </w:tcPr>
          <w:p>
            <w:pPr>
              <w:keepNext w:val="0"/>
              <w:keepLines w:val="0"/>
              <w:suppressLineNumbers w:val="0"/>
              <w:spacing w:before="0" w:beforeAutospacing="0" w:after="0" w:afterAutospacing="0"/>
              <w:ind w:left="0" w:right="0"/>
              <w:rPr>
                <w:rFonts w:hint="default"/>
                <w:color w:val="auto"/>
                <w:sz w:val="28"/>
                <w:szCs w:val="28"/>
                <w:highlight w:val="none"/>
              </w:rPr>
            </w:pPr>
          </w:p>
          <w:p>
            <w:pPr>
              <w:keepNext w:val="0"/>
              <w:keepLines w:val="0"/>
              <w:suppressLineNumbers w:val="0"/>
              <w:adjustRightInd w:val="0"/>
              <w:snapToGrid w:val="0"/>
              <w:spacing w:before="0" w:beforeAutospacing="0" w:after="0" w:afterAutospacing="0"/>
              <w:ind w:left="0" w:right="105" w:rightChars="50"/>
              <w:jc w:val="left"/>
              <w:rPr>
                <w:rFonts w:hint="default" w:ascii="仿宋_GB2312" w:hAnsi="仿宋_GB2312" w:eastAsia="仿宋_GB2312" w:cs="仿宋_GB2312"/>
                <w:color w:val="auto"/>
                <w:sz w:val="28"/>
                <w:szCs w:val="28"/>
                <w:highlight w:val="none"/>
              </w:rPr>
            </w:pPr>
          </w:p>
        </w:tc>
        <w:tc>
          <w:tcPr>
            <w:tcW w:w="1523"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color w:val="auto"/>
                <w:sz w:val="28"/>
                <w:szCs w:val="28"/>
                <w:highlight w:val="none"/>
              </w:rPr>
            </w:pPr>
          </w:p>
        </w:tc>
        <w:tc>
          <w:tcPr>
            <w:tcW w:w="1101"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_GB2312" w:hAnsi="仿宋_GB2312" w:eastAsia="仿宋_GB2312" w:cs="仿宋_GB2312"/>
                <w:color w:val="auto"/>
                <w:sz w:val="28"/>
                <w:szCs w:val="28"/>
                <w:highlight w:val="none"/>
              </w:rPr>
            </w:pPr>
          </w:p>
        </w:tc>
      </w:tr>
    </w:tbl>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法定代表人或其授权委托人(签字或盖章)：</w:t>
      </w:r>
      <w:r>
        <w:rPr>
          <w:rFonts w:hint="eastAsia" w:ascii="仿宋_GB2312" w:hAnsi="仿宋_GB2312" w:eastAsia="仿宋_GB2312" w:cs="仿宋_GB2312"/>
          <w:color w:val="auto"/>
          <w:sz w:val="28"/>
          <w:szCs w:val="28"/>
          <w:highlight w:val="none"/>
          <w:u w:val="singl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 xml:space="preserve">              </w:t>
      </w:r>
    </w:p>
    <w:p>
      <w:pPr>
        <w:adjustRightInd w:val="0"/>
        <w:snapToGrid w:val="0"/>
        <w:spacing w:line="360" w:lineRule="auto"/>
        <w:ind w:right="105" w:rightChars="50" w:firstLine="560" w:firstLineChars="200"/>
        <w:jc w:val="left"/>
        <w:rPr>
          <w:rFonts w:ascii="仿宋_GB2312" w:hAnsi="仿宋_GB2312" w:eastAsia="仿宋_GB2312" w:cs="仿宋_GB2312"/>
          <w:color w:val="auto"/>
          <w:sz w:val="28"/>
          <w:szCs w:val="28"/>
          <w:highlight w:val="none"/>
          <w:u w:val="single"/>
        </w:rPr>
      </w:pPr>
    </w:p>
    <w:p>
      <w:pPr>
        <w:adjustRightInd w:val="0"/>
        <w:snapToGrid w:val="0"/>
        <w:spacing w:line="360" w:lineRule="auto"/>
        <w:ind w:right="105" w:rightChars="50"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adjustRightInd w:val="0"/>
        <w:snapToGrid w:val="0"/>
        <w:spacing w:line="480" w:lineRule="auto"/>
        <w:ind w:right="105" w:rightChars="50"/>
        <w:jc w:val="left"/>
        <w:rPr>
          <w:rFonts w:ascii="仿宋_GB2312" w:hAnsi="仿宋_GB2312" w:eastAsia="仿宋_GB2312" w:cs="仿宋_GB2312"/>
          <w:color w:val="auto"/>
          <w:sz w:val="28"/>
          <w:szCs w:val="28"/>
          <w:highlight w:val="none"/>
        </w:rPr>
      </w:pPr>
    </w:p>
    <w:p>
      <w:pPr>
        <w:spacing w:before="312" w:beforeLines="100" w:after="312" w:afterLines="100" w:line="360" w:lineRule="auto"/>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法定代表人身份证明书</w:t>
      </w:r>
    </w:p>
    <w:p>
      <w:pPr>
        <w:spacing w:line="360" w:lineRule="auto"/>
        <w:ind w:firstLine="1120" w:firstLineChars="4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，出生日期：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，现任职务：</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（投标人名称）的法定代表人。</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tbl>
      <w:tblPr>
        <w:tblStyle w:val="1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（※法定代表人身份证正、反面复印件※）</w:t>
            </w: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注：身份证复印件如为粘贴的，须在身份证复印件与本页接缝处加盖公章。</w:t>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 xml:space="preserve">              </w:t>
      </w:r>
    </w:p>
    <w:p>
      <w:pPr>
        <w:jc w:val="center"/>
        <w:rPr>
          <w:rFonts w:ascii="仿宋_GB2312" w:hAnsi="仿宋_GB2312" w:eastAsia="仿宋_GB2312" w:cs="仿宋_GB2312"/>
          <w:b/>
          <w:bCs/>
          <w:color w:val="auto"/>
          <w:sz w:val="24"/>
          <w:highlight w:val="none"/>
        </w:rPr>
      </w:pPr>
    </w:p>
    <w:p>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法定代表人授权委托书</w:t>
      </w:r>
    </w:p>
    <w:p>
      <w:pPr>
        <w:spacing w:line="360" w:lineRule="auto"/>
        <w:ind w:firstLine="480" w:firstLineChars="200"/>
        <w:rPr>
          <w:rFonts w:ascii="仿宋_GB2312" w:hAnsi="仿宋_GB2312" w:eastAsia="仿宋_GB2312" w:cs="仿宋_GB2312"/>
          <w:color w:val="auto"/>
          <w:sz w:val="24"/>
          <w:highlight w:val="none"/>
          <w:u w:val="single"/>
        </w:rPr>
      </w:pP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w:t>
      </w:r>
      <w:r>
        <w:rPr>
          <w:rFonts w:hint="eastAsia" w:ascii="仿宋_GB2312" w:hAnsi="仿宋_GB2312" w:eastAsia="仿宋_GB2312" w:cs="仿宋_GB2312"/>
          <w:color w:val="auto"/>
          <w:sz w:val="24"/>
          <w:highlight w:val="none"/>
          <w:u w:val="single"/>
        </w:rPr>
        <w:t xml:space="preserve">       （姓名）</w:t>
      </w:r>
      <w:r>
        <w:rPr>
          <w:rFonts w:hint="eastAsia" w:ascii="仿宋_GB2312" w:hAnsi="仿宋_GB2312" w:eastAsia="仿宋_GB2312" w:cs="仿宋_GB2312"/>
          <w:color w:val="auto"/>
          <w:sz w:val="24"/>
          <w:highlight w:val="none"/>
        </w:rPr>
        <w:t xml:space="preserve">是 </w:t>
      </w:r>
      <w:r>
        <w:rPr>
          <w:rFonts w:hint="eastAsia" w:ascii="仿宋_GB2312" w:hAnsi="仿宋_GB2312" w:eastAsia="仿宋_GB2312" w:cs="仿宋_GB2312"/>
          <w:color w:val="auto"/>
          <w:sz w:val="24"/>
          <w:highlight w:val="none"/>
          <w:u w:val="single"/>
        </w:rPr>
        <w:t xml:space="preserve">           （投标人名称）</w:t>
      </w:r>
      <w:r>
        <w:rPr>
          <w:rFonts w:hint="eastAsia" w:ascii="仿宋_GB2312" w:hAnsi="仿宋_GB2312" w:eastAsia="仿宋_GB2312" w:cs="仿宋_GB2312"/>
          <w:color w:val="auto"/>
          <w:sz w:val="24"/>
          <w:highlight w:val="none"/>
        </w:rPr>
        <w:t>的法定代表人。现委托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（姓名）为我方代理人。代理人根据授权，以我方名义签署、澄清确认、递交、撤回、修改 </w:t>
      </w:r>
      <w:r>
        <w:rPr>
          <w:rFonts w:hint="eastAsia" w:ascii="仿宋_GB2312" w:hAnsi="仿宋_GB2312" w:eastAsia="仿宋_GB2312" w:cs="仿宋_GB2312"/>
          <w:color w:val="auto"/>
          <w:sz w:val="24"/>
          <w:highlight w:val="none"/>
          <w:u w:val="single"/>
        </w:rPr>
        <w:t xml:space="preserve">       （项目名称、包号）</w:t>
      </w:r>
      <w:r>
        <w:rPr>
          <w:rFonts w:hint="eastAsia" w:ascii="仿宋_GB2312" w:hAnsi="仿宋_GB2312" w:eastAsia="仿宋_GB2312" w:cs="仿宋_GB2312"/>
          <w:color w:val="auto"/>
          <w:sz w:val="24"/>
          <w:highlight w:val="none"/>
        </w:rPr>
        <w:t>投标文件、签订合同和处理有关事宜，其法律后果由我方承担。</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委托期限：自本委托书签署之日起至投标有效期期满。</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代理人无转委托权</w:t>
      </w:r>
      <w:r>
        <w:rPr>
          <w:rFonts w:hint="eastAsia" w:ascii="仿宋_GB2312" w:hAnsi="仿宋_GB2312" w:eastAsia="仿宋_GB2312" w:cs="仿宋_GB2312"/>
          <w:color w:val="auto"/>
          <w:sz w:val="24"/>
          <w:highlight w:val="none"/>
        </w:rPr>
        <w:t>。</w:t>
      </w:r>
    </w:p>
    <w:p>
      <w:pPr>
        <w:spacing w:line="360" w:lineRule="auto"/>
        <w:rPr>
          <w:rFonts w:ascii="仿宋_GB2312" w:hAnsi="仿宋_GB2312" w:eastAsia="仿宋_GB2312" w:cs="仿宋_GB2312"/>
          <w:color w:val="auto"/>
          <w:sz w:val="24"/>
          <w:highlight w:val="none"/>
        </w:rPr>
      </w:pPr>
    </w:p>
    <w:tbl>
      <w:tblPr>
        <w:tblStyle w:val="1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（※授权委托人身份证正、反面复印件※）</w:t>
            </w:r>
          </w:p>
        </w:tc>
      </w:tr>
    </w:tbl>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注：身份证复印件如为粘贴的，须在身份证复印件与本页接缝处加盖公章。</w:t>
      </w:r>
    </w:p>
    <w:p>
      <w:pPr>
        <w:spacing w:line="360" w:lineRule="auto"/>
        <w:rPr>
          <w:rFonts w:ascii="仿宋_GB2312" w:hAnsi="仿宋_GB2312" w:eastAsia="仿宋_GB2312" w:cs="仿宋_GB2312"/>
          <w:color w:val="auto"/>
          <w:sz w:val="24"/>
          <w:highlight w:val="none"/>
        </w:rPr>
      </w:pP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投标人（加盖单位公章）：</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法定代表人（签字）：</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委托代理人（签字）：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pPr>
        <w:pStyle w:val="23"/>
        <w:ind w:firstLine="0"/>
        <w:rPr>
          <w:rFonts w:ascii="仿宋_GB2312" w:hAnsi="仿宋_GB2312" w:eastAsia="仿宋_GB2312" w:cs="仿宋_GB2312"/>
          <w:color w:val="auto"/>
          <w:spacing w:val="0"/>
          <w:kern w:val="2"/>
          <w:highlight w:val="none"/>
          <w:u w:val="single"/>
        </w:rPr>
      </w:pPr>
      <w:r>
        <w:rPr>
          <w:rFonts w:hint="eastAsia" w:ascii="仿宋_GB2312" w:hAnsi="仿宋_GB2312" w:eastAsia="仿宋_GB2312" w:cs="仿宋_GB2312"/>
          <w:color w:val="auto"/>
          <w:spacing w:val="0"/>
          <w:kern w:val="2"/>
          <w:highlight w:val="none"/>
        </w:rPr>
        <w:t>身份证号码：</w:t>
      </w:r>
      <w:r>
        <w:rPr>
          <w:rFonts w:hint="eastAsia" w:ascii="仿宋_GB2312" w:hAnsi="仿宋_GB2312" w:eastAsia="仿宋_GB2312" w:cs="仿宋_GB2312"/>
          <w:color w:val="auto"/>
          <w:spacing w:val="0"/>
          <w:kern w:val="2"/>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rPr>
      </w:pP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1.以联合体形式响应的，本授权委托书由联合体牵头人的法定代表人按上述规定签署。</w:t>
      </w:r>
    </w:p>
    <w:p>
      <w:pPr>
        <w:widowControl/>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2.如果由投标人的法定代表人签署投标文件，则不需要提交授权委托书。</w:t>
      </w:r>
      <w:r>
        <w:rPr>
          <w:rFonts w:hint="eastAsia" w:ascii="仿宋_GB2312" w:hAnsi="仿宋_GB2312" w:eastAsia="仿宋_GB2312" w:cs="仿宋_GB2312"/>
          <w:color w:val="auto"/>
          <w:sz w:val="24"/>
          <w:highlight w:val="none"/>
        </w:rPr>
        <w:br w:type="page"/>
      </w:r>
    </w:p>
    <w:p>
      <w:pPr>
        <w:pStyle w:val="23"/>
        <w:rPr>
          <w:color w:val="auto"/>
          <w:sz w:val="28"/>
          <w:szCs w:val="28"/>
          <w:highlight w:val="none"/>
        </w:rPr>
      </w:pPr>
    </w:p>
    <w:p>
      <w:pPr>
        <w:spacing w:before="312" w:beforeLines="100" w:after="312" w:afterLines="100" w:line="360" w:lineRule="auto"/>
        <w:ind w:right="-21" w:rightChars="-10"/>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b/>
          <w:bCs/>
          <w:color w:val="auto"/>
          <w:sz w:val="28"/>
          <w:szCs w:val="28"/>
          <w:highlight w:val="none"/>
        </w:rPr>
      </w:pP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注：</w:t>
      </w:r>
      <w:r>
        <w:rPr>
          <w:rFonts w:hint="eastAsia" w:ascii="仿宋_GB2312" w:hAnsi="仿宋_GB2312" w:eastAsia="仿宋_GB2312" w:cs="仿宋_GB2312"/>
          <w:color w:val="auto"/>
          <w:sz w:val="28"/>
          <w:szCs w:val="28"/>
          <w:highlight w:val="none"/>
        </w:rPr>
        <w:t>承诺函后须附附表《202</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年财务状况表》及附件。</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snapToGrid w:val="0"/>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p>
    <w:p>
      <w:pPr>
        <w:snapToGrid w:val="0"/>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法定代表人或其授权委托人(签字或盖章)：</w:t>
      </w:r>
      <w:r>
        <w:rPr>
          <w:rFonts w:hint="eastAsia" w:ascii="仿宋_GB2312" w:hAnsi="仿宋_GB2312" w:eastAsia="仿宋_GB2312" w:cs="仿宋_GB2312"/>
          <w:color w:val="auto"/>
          <w:sz w:val="28"/>
          <w:szCs w:val="28"/>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xml:space="preserve">                </w:t>
      </w:r>
    </w:p>
    <w:p>
      <w:pPr>
        <w:pStyle w:val="17"/>
        <w:ind w:firstLine="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附表：</w:t>
      </w:r>
    </w:p>
    <w:p>
      <w:pPr>
        <w:widowControl/>
        <w:autoSpaceDE w:val="0"/>
        <w:autoSpaceDN w:val="0"/>
        <w:spacing w:line="400" w:lineRule="atLeast"/>
        <w:ind w:left="180"/>
        <w:jc w:val="center"/>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202</w:t>
      </w: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年财务状况表</w:t>
      </w:r>
    </w:p>
    <w:tbl>
      <w:tblPr>
        <w:tblStyle w:val="18"/>
        <w:tblW w:w="0" w:type="auto"/>
        <w:tblInd w:w="0" w:type="dxa"/>
        <w:tblLayout w:type="fixed"/>
        <w:tblCellMar>
          <w:top w:w="0" w:type="dxa"/>
          <w:left w:w="28" w:type="dxa"/>
          <w:bottom w:w="0" w:type="dxa"/>
          <w:right w:w="28" w:type="dxa"/>
        </w:tblCellMar>
      </w:tblPr>
      <w:tblGrid>
        <w:gridCol w:w="4468"/>
        <w:gridCol w:w="1459"/>
        <w:gridCol w:w="1329"/>
      </w:tblGrid>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项目或指标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202</w:t>
            </w:r>
            <w:r>
              <w:rPr>
                <w:rFonts w:hint="eastAsia" w:ascii="仿宋_GB2312" w:hAnsi="仿宋_GB2312" w:eastAsia="仿宋_GB2312" w:cs="仿宋_GB2312"/>
                <w:color w:val="auto"/>
                <w:sz w:val="28"/>
                <w:szCs w:val="28"/>
                <w:highlight w:val="none"/>
                <w:u w:val="single"/>
                <w:lang w:val="en-US" w:eastAsia="zh-CN"/>
              </w:rPr>
              <w:t>2</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 、 注册资本</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 净资产</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 总资产</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suppressLineNumbers w:val="0"/>
              <w:spacing w:before="0" w:beforeAutospacing="0" w:after="0" w:afterAutospacing="0" w:line="400" w:lineRule="atLeast"/>
              <w:ind w:left="0" w:right="0" w:firstLine="13"/>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四、 固定资产</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 流动资产</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 流动负债</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 负债合计</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 营业收入</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 净利润</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113" w:right="0" w:firstLine="13"/>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 现金流量净额</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840" w:right="0" w:hanging="714"/>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 主要财务指标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73" w:leftChars="35" w:right="0" w:firstLine="1134" w:firstLineChars="405"/>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净资产收益率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73" w:leftChars="35" w:right="0" w:firstLine="1134" w:firstLineChars="405"/>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总资产报酬率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73" w:leftChars="35" w:right="0" w:firstLine="1134" w:firstLineChars="405"/>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主营业务利润率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73" w:leftChars="35" w:right="0" w:firstLine="1134" w:firstLineChars="405"/>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资产负债率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73" w:leftChars="35" w:right="0" w:firstLine="1134" w:firstLineChars="405"/>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 流动比率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r>
        <w:tblPrEx>
          <w:tblCellMar>
            <w:top w:w="0" w:type="dxa"/>
            <w:left w:w="28" w:type="dxa"/>
            <w:bottom w:w="0" w:type="dxa"/>
            <w:right w:w="28" w:type="dxa"/>
          </w:tblCellMar>
        </w:tblPrEx>
        <w:trPr>
          <w:cantSplit/>
          <w:trHeight w:val="454" w:hRule="atLeast"/>
        </w:trPr>
        <w:tc>
          <w:tcPr>
            <w:tcW w:w="4468"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73" w:leftChars="35" w:right="0" w:firstLine="1134" w:firstLineChars="405"/>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 速动比率</w:t>
            </w:r>
          </w:p>
        </w:tc>
        <w:tc>
          <w:tcPr>
            <w:tcW w:w="1459" w:type="dxa"/>
            <w:tcBorders>
              <w:top w:val="single" w:color="auto" w:sz="6" w:space="0"/>
              <w:left w:val="single" w:color="auto" w:sz="6"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center"/>
              <w:textAlignment w:val="bottom"/>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329" w:type="dxa"/>
            <w:tcBorders>
              <w:top w:val="single" w:color="auto" w:sz="6" w:space="0"/>
              <w:left w:val="single" w:color="auto" w:sz="4" w:space="0"/>
              <w:bottom w:val="single" w:color="auto" w:sz="6" w:space="0"/>
              <w:right w:val="single" w:color="auto" w:sz="6" w:space="0"/>
            </w:tcBorders>
          </w:tcPr>
          <w:p>
            <w:pPr>
              <w:keepNext w:val="0"/>
              <w:keepLines w:val="0"/>
              <w:widowControl/>
              <w:suppressLineNumbers w:val="0"/>
              <w:autoSpaceDE w:val="0"/>
              <w:autoSpaceDN w:val="0"/>
              <w:spacing w:before="0" w:beforeAutospacing="0" w:after="0" w:afterAutospacing="0" w:line="400" w:lineRule="atLeast"/>
              <w:ind w:left="0" w:right="0" w:firstLine="13"/>
              <w:jc w:val="right"/>
              <w:textAlignment w:val="bottom"/>
              <w:rPr>
                <w:rFonts w:hint="default" w:ascii="仿宋_GB2312" w:hAnsi="仿宋_GB2312" w:eastAsia="仿宋_GB2312" w:cs="仿宋_GB2312"/>
                <w:color w:val="auto"/>
                <w:sz w:val="28"/>
                <w:szCs w:val="28"/>
                <w:highlight w:val="none"/>
              </w:rPr>
            </w:pPr>
          </w:p>
        </w:tc>
      </w:tr>
    </w:tbl>
    <w:p>
      <w:pPr>
        <w:numPr>
          <w:ilvl w:val="0"/>
          <w:numId w:val="7"/>
        </w:numPr>
        <w:spacing w:line="400" w:lineRule="atLeas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本表所列数据必须与本表各附件中的数据相一致；</w:t>
      </w:r>
    </w:p>
    <w:p>
      <w:pPr>
        <w:numPr>
          <w:ilvl w:val="255"/>
          <w:numId w:val="0"/>
        </w:numPr>
        <w:spacing w:line="400" w:lineRule="atLeas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spacing w:before="312" w:beforeLines="100" w:after="312" w:afterLines="100" w:line="360" w:lineRule="auto"/>
        <w:jc w:val="center"/>
        <w:rPr>
          <w:rFonts w:ascii="仿宋_GB2312" w:hAnsi="仿宋_GB2312" w:eastAsia="仿宋_GB2312" w:cs="仿宋_GB2312"/>
          <w:b/>
          <w:bCs/>
          <w:color w:val="auto"/>
          <w:sz w:val="28"/>
          <w:szCs w:val="28"/>
          <w:highlight w:val="none"/>
        </w:rPr>
      </w:pPr>
    </w:p>
    <w:p>
      <w:pPr>
        <w:spacing w:before="312" w:beforeLines="100" w:after="312" w:afterLines="100" w:line="360" w:lineRule="auto"/>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具备履行合同所必需的设备和专业技术能力声明函</w:t>
      </w:r>
    </w:p>
    <w:p>
      <w:pPr>
        <w:spacing w:before="312" w:beforeLines="100" w:after="312" w:afterLines="100" w:line="480" w:lineRule="exact"/>
        <w:ind w:right="630" w:rightChars="300"/>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（格式自拟）</w:t>
      </w:r>
    </w:p>
    <w:p>
      <w:pPr>
        <w:spacing w:line="360" w:lineRule="auto"/>
        <w:rPr>
          <w:rFonts w:ascii="仿宋_GB2312" w:hAnsi="仿宋_GB2312" w:eastAsia="仿宋_GB2312" w:cs="仿宋_GB2312"/>
          <w:color w:val="auto"/>
          <w:sz w:val="28"/>
          <w:szCs w:val="28"/>
          <w:highlight w:val="none"/>
        </w:rPr>
      </w:pPr>
    </w:p>
    <w:p>
      <w:pPr>
        <w:spacing w:line="360" w:lineRule="auto"/>
        <w:rPr>
          <w:rFonts w:ascii="仿宋_GB2312" w:hAnsi="仿宋_GB2312" w:eastAsia="仿宋_GB2312" w:cs="仿宋_GB2312"/>
          <w:color w:val="auto"/>
          <w:sz w:val="28"/>
          <w:szCs w:val="28"/>
          <w:highlight w:val="none"/>
        </w:rPr>
      </w:pPr>
    </w:p>
    <w:p>
      <w:pPr>
        <w:pStyle w:val="33"/>
        <w:wordWrap w:val="0"/>
        <w:topLinePunct/>
        <w:spacing w:before="0"/>
        <w:rPr>
          <w:rFonts w:ascii="仿宋_GB2312" w:hAnsi="仿宋_GB2312" w:eastAsia="仿宋_GB2312" w:cs="仿宋_GB2312"/>
          <w:b w:val="0"/>
          <w:bCs/>
          <w:color w:val="auto"/>
          <w:szCs w:val="28"/>
          <w:highlight w:val="none"/>
        </w:rPr>
      </w:pPr>
    </w:p>
    <w:p>
      <w:pPr>
        <w:pStyle w:val="33"/>
        <w:wordWrap w:val="0"/>
        <w:topLinePunct/>
        <w:spacing w:before="0"/>
        <w:rPr>
          <w:rFonts w:ascii="仿宋_GB2312" w:hAnsi="仿宋_GB2312" w:eastAsia="仿宋_GB2312" w:cs="仿宋_GB2312"/>
          <w:b w:val="0"/>
          <w:bCs/>
          <w:color w:val="auto"/>
          <w:szCs w:val="28"/>
          <w:highlight w:val="none"/>
        </w:rPr>
      </w:pPr>
      <w:r>
        <w:rPr>
          <w:rFonts w:hint="eastAsia" w:ascii="仿宋_GB2312" w:hAnsi="仿宋_GB2312" w:eastAsia="仿宋_GB2312" w:cs="仿宋_GB2312"/>
          <w:b w:val="0"/>
          <w:bCs/>
          <w:color w:val="auto"/>
          <w:szCs w:val="28"/>
          <w:highlight w:val="none"/>
        </w:rPr>
        <w:t>注：承诺函后须附附表《拟委任的项目技术人员汇总表》及附件。</w:t>
      </w:r>
    </w:p>
    <w:p>
      <w:pPr>
        <w:spacing w:line="360" w:lineRule="auto"/>
        <w:rPr>
          <w:rFonts w:ascii="仿宋_GB2312" w:hAnsi="仿宋_GB2312" w:eastAsia="仿宋_GB2312" w:cs="仿宋_GB2312"/>
          <w:color w:val="auto"/>
          <w:sz w:val="28"/>
          <w:szCs w:val="28"/>
          <w:highlight w:val="none"/>
        </w:rPr>
      </w:pPr>
    </w:p>
    <w:p>
      <w:pPr>
        <w:spacing w:line="360" w:lineRule="auto"/>
        <w:rPr>
          <w:rFonts w:ascii="仿宋_GB2312" w:hAnsi="仿宋_GB2312" w:eastAsia="仿宋_GB2312" w:cs="仿宋_GB2312"/>
          <w:color w:val="auto"/>
          <w:sz w:val="28"/>
          <w:szCs w:val="28"/>
          <w:highlight w:val="none"/>
        </w:rPr>
      </w:pPr>
    </w:p>
    <w:p>
      <w:pPr>
        <w:spacing w:line="360" w:lineRule="auto"/>
        <w:rPr>
          <w:rFonts w:ascii="仿宋_GB2312" w:hAnsi="仿宋_GB2312" w:eastAsia="仿宋_GB2312" w:cs="仿宋_GB2312"/>
          <w:color w:val="auto"/>
          <w:sz w:val="28"/>
          <w:szCs w:val="28"/>
          <w:highlight w:val="none"/>
        </w:rPr>
      </w:pP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法定代表人或其授权委托人</w:t>
      </w:r>
      <w:r>
        <w:rPr>
          <w:rFonts w:hint="eastAsia" w:ascii="仿宋_GB2312" w:hAnsi="仿宋_GB2312" w:eastAsia="仿宋_GB2312" w:cs="仿宋_GB2312"/>
          <w:color w:val="auto"/>
          <w:sz w:val="28"/>
          <w:szCs w:val="28"/>
          <w:highlight w:val="none"/>
          <w:u w:val="single"/>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 xml:space="preserve">              </w:t>
      </w:r>
    </w:p>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p>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p>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p>
    <w:p>
      <w:pPr>
        <w:pStyle w:val="17"/>
        <w:rPr>
          <w:rFonts w:ascii="仿宋_GB2312" w:hAnsi="仿宋_GB2312" w:eastAsia="仿宋_GB2312" w:cs="仿宋_GB2312"/>
          <w:b/>
          <w:color w:val="auto"/>
          <w:sz w:val="28"/>
          <w:szCs w:val="28"/>
          <w:highlight w:val="none"/>
        </w:rPr>
      </w:pPr>
    </w:p>
    <w:p>
      <w:pPr>
        <w:rPr>
          <w:color w:val="auto"/>
          <w:sz w:val="28"/>
          <w:szCs w:val="28"/>
          <w:highlight w:val="none"/>
        </w:rPr>
      </w:pPr>
    </w:p>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p>
    <w:p>
      <w:pPr>
        <w:pStyle w:val="23"/>
        <w:rPr>
          <w:color w:val="auto"/>
          <w:sz w:val="28"/>
          <w:szCs w:val="28"/>
          <w:highlight w:val="none"/>
        </w:rPr>
      </w:pPr>
    </w:p>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p>
    <w:p>
      <w:pPr>
        <w:pStyle w:val="17"/>
        <w:ind w:firstLine="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附表</w:t>
      </w:r>
    </w:p>
    <w:p>
      <w:pPr>
        <w:pStyle w:val="33"/>
        <w:wordWrap w:val="0"/>
        <w:topLinePunct/>
        <w:spacing w:before="0"/>
        <w:jc w:val="center"/>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拟委任的项目技术人员汇总表</w:t>
      </w:r>
    </w:p>
    <w:p>
      <w:pPr>
        <w:wordWrap w:val="0"/>
        <w:topLinePunct/>
        <w:spacing w:line="300" w:lineRule="exact"/>
        <w:jc w:val="center"/>
        <w:rPr>
          <w:rFonts w:ascii="仿宋_GB2312" w:hAnsi="仿宋_GB2312" w:eastAsia="仿宋_GB2312" w:cs="仿宋_GB2312"/>
          <w:color w:val="auto"/>
          <w:sz w:val="28"/>
          <w:szCs w:val="28"/>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72"/>
        <w:gridCol w:w="1342"/>
        <w:gridCol w:w="1084"/>
        <w:gridCol w:w="1372"/>
        <w:gridCol w:w="15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772"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342"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拟在本项目中担任的职务</w:t>
            </w:r>
          </w:p>
        </w:tc>
        <w:tc>
          <w:tcPr>
            <w:tcW w:w="1084"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技术职称</w:t>
            </w:r>
          </w:p>
        </w:tc>
        <w:tc>
          <w:tcPr>
            <w:tcW w:w="1372"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资格证书类别及注册号</w:t>
            </w:r>
          </w:p>
        </w:tc>
        <w:tc>
          <w:tcPr>
            <w:tcW w:w="1587"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累计对应岗位的工作年限（年）</w:t>
            </w:r>
          </w:p>
        </w:tc>
        <w:tc>
          <w:tcPr>
            <w:tcW w:w="1037"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7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4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84"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58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3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7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4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84"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58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3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7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4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84"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58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3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7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4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84"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372"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58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c>
          <w:tcPr>
            <w:tcW w:w="1037" w:type="dxa"/>
            <w:vAlign w:val="center"/>
          </w:tcPr>
          <w:p>
            <w:pPr>
              <w:keepNext w:val="0"/>
              <w:keepLines w:val="0"/>
              <w:suppressLineNumbers w:val="0"/>
              <w:topLinePunct/>
              <w:snapToGrid w:val="0"/>
              <w:spacing w:before="0" w:beforeAutospacing="0" w:after="0" w:afterAutospacing="0" w:line="240" w:lineRule="atLeast"/>
              <w:ind w:left="0" w:right="0"/>
              <w:jc w:val="center"/>
              <w:rPr>
                <w:rFonts w:hint="default" w:ascii="仿宋_GB2312" w:hAnsi="仿宋_GB2312" w:eastAsia="仿宋_GB2312" w:cs="仿宋_GB2312"/>
                <w:color w:val="auto"/>
                <w:sz w:val="28"/>
                <w:szCs w:val="28"/>
                <w:highlight w:val="none"/>
              </w:rPr>
            </w:pPr>
          </w:p>
        </w:tc>
      </w:tr>
    </w:tbl>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注：本表后须附</w:t>
      </w:r>
      <w:r>
        <w:rPr>
          <w:rFonts w:hint="eastAsia" w:ascii="仿宋" w:hAnsi="仿宋" w:eastAsia="仿宋" w:cs="仿宋"/>
          <w:color w:val="auto"/>
          <w:sz w:val="28"/>
          <w:szCs w:val="28"/>
          <w:highlight w:val="none"/>
        </w:rPr>
        <w:t>上述人员的身份证、学历证书、职称证书、资格证书等证明材料及社保证明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项目负责人的资料须按公告要求，其余人员须</w:t>
      </w:r>
      <w:r>
        <w:rPr>
          <w:rFonts w:hint="eastAsia" w:ascii="仿宋" w:hAnsi="仿宋" w:eastAsia="仿宋" w:cs="仿宋"/>
          <w:color w:val="auto"/>
          <w:sz w:val="28"/>
          <w:szCs w:val="28"/>
          <w:highlight w:val="none"/>
        </w:rPr>
        <w:t>近六个月【指从招标公告发布当月（不含招标公告发布当月）往前顺推的连续六个月】的</w:t>
      </w:r>
      <w:r>
        <w:rPr>
          <w:rFonts w:hint="eastAsia" w:ascii="仿宋" w:hAnsi="仿宋" w:eastAsia="仿宋" w:cs="仿宋"/>
          <w:color w:val="auto"/>
          <w:sz w:val="28"/>
          <w:szCs w:val="28"/>
          <w:highlight w:val="none"/>
          <w:lang w:val="en-US" w:eastAsia="zh-CN"/>
        </w:rPr>
        <w:t>加盖政府部门公章的</w:t>
      </w:r>
      <w:r>
        <w:rPr>
          <w:rFonts w:hint="eastAsia" w:ascii="仿宋" w:hAnsi="仿宋" w:eastAsia="仿宋" w:cs="仿宋"/>
          <w:color w:val="auto"/>
          <w:sz w:val="28"/>
          <w:szCs w:val="28"/>
          <w:highlight w:val="none"/>
        </w:rPr>
        <w:t>社保</w:t>
      </w:r>
      <w:r>
        <w:rPr>
          <w:rFonts w:hint="eastAsia" w:ascii="仿宋" w:hAnsi="仿宋" w:eastAsia="仿宋" w:cs="仿宋"/>
          <w:color w:val="auto"/>
          <w:sz w:val="28"/>
          <w:szCs w:val="28"/>
          <w:highlight w:val="none"/>
          <w:lang w:val="en-US" w:eastAsia="zh-CN"/>
        </w:rPr>
        <w:t>证明</w:t>
      </w:r>
      <w:r>
        <w:rPr>
          <w:rFonts w:hint="eastAsia" w:ascii="仿宋" w:hAnsi="仿宋" w:eastAsia="仿宋" w:cs="仿宋"/>
          <w:color w:val="auto"/>
          <w:sz w:val="28"/>
          <w:szCs w:val="28"/>
          <w:highlight w:val="none"/>
        </w:rPr>
        <w:t>（退休人员则可提供职工退休证及返聘合同等证明材料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的复印件或彩色扫描件并加盖公章</w:t>
      </w:r>
      <w:r>
        <w:rPr>
          <w:rFonts w:hint="eastAsia" w:ascii="仿宋_GB2312" w:hAnsi="仿宋_GB2312" w:eastAsia="仿宋_GB2312" w:cs="仿宋_GB2312"/>
          <w:color w:val="auto"/>
          <w:sz w:val="28"/>
          <w:szCs w:val="28"/>
          <w:highlight w:val="none"/>
        </w:rPr>
        <w:t>。</w:t>
      </w:r>
    </w:p>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p>
    <w:p>
      <w:pPr>
        <w:spacing w:before="312" w:beforeLines="100" w:after="312" w:afterLines="100" w:line="480" w:lineRule="exact"/>
        <w:ind w:right="630" w:rightChars="3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highlight w:val="none"/>
        </w:rPr>
      </w:pPr>
    </w:p>
    <w:p>
      <w:pPr>
        <w:spacing w:before="312" w:beforeLines="100" w:after="312" w:afterLines="100" w:line="360" w:lineRule="auto"/>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 参加招标活动前3年内在经营活动中没有重大违法记录的书面声明</w:t>
      </w:r>
    </w:p>
    <w:p>
      <w:pPr>
        <w:spacing w:line="360" w:lineRule="auto"/>
        <w:ind w:right="630" w:rightChars="3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u w:val="single"/>
        </w:rPr>
        <w:t xml:space="preserve">（招标人名称） </w:t>
      </w:r>
      <w:r>
        <w:rPr>
          <w:rFonts w:hint="eastAsia" w:ascii="仿宋_GB2312" w:hAnsi="仿宋_GB2312" w:eastAsia="仿宋_GB2312" w:cs="仿宋_GB2312"/>
          <w:b/>
          <w:color w:val="auto"/>
          <w:sz w:val="28"/>
          <w:szCs w:val="28"/>
          <w:highlight w:val="none"/>
        </w:rPr>
        <w:t xml:space="preserve"> ：</w:t>
      </w:r>
    </w:p>
    <w:p>
      <w:pPr>
        <w:spacing w:line="360" w:lineRule="auto"/>
        <w:ind w:right="-21" w:rightChars="-10" w:firstLine="658" w:firstLineChars="235"/>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项目提交投标文件截止时间前，我单位参加本次招标活动前3年内在经营活动中没有因违法经营受到刑事处罚或者责令停产停业、吊销许可证或者执照、较大数额罚款等行政处罚的重大违法记录；通过国家企业信用信息公示系统（网站：</w:t>
      </w:r>
      <w:r>
        <w:rPr>
          <w:rFonts w:hint="eastAsia" w:ascii="仿宋" w:hAnsi="仿宋" w:eastAsia="仿宋" w:cs="仿宋"/>
          <w:color w:val="auto"/>
          <w:sz w:val="28"/>
          <w:szCs w:val="28"/>
          <w:highlight w:val="none"/>
        </w:rPr>
        <w:t>http://www.gsxt.gov.cn/</w:t>
      </w:r>
      <w:r>
        <w:rPr>
          <w:rFonts w:hint="eastAsia" w:ascii="仿宋_GB2312" w:hAnsi="仿宋_GB2312" w:eastAsia="仿宋_GB2312" w:cs="仿宋_GB2312"/>
          <w:color w:val="auto"/>
          <w:sz w:val="28"/>
          <w:szCs w:val="28"/>
          <w:highlight w:val="none"/>
        </w:rPr>
        <w:t>）、“信用中国”(网站：www.creditchina.gov.cn/)等渠道查询，我单位未被列入严重违法失信企业名单、失信被执行人名单。</w:t>
      </w:r>
    </w:p>
    <w:p>
      <w:pPr>
        <w:tabs>
          <w:tab w:val="left" w:pos="10065"/>
        </w:tabs>
        <w:spacing w:line="360" w:lineRule="auto"/>
        <w:ind w:right="-21" w:rightChars="-10" w:firstLine="495" w:firstLineChars="177"/>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如发现我单位提供的声明函不实时，我单位将按照有关提供虚假材料的规定，接受处罚。</w:t>
      </w:r>
    </w:p>
    <w:p>
      <w:pPr>
        <w:spacing w:line="360" w:lineRule="auto"/>
        <w:ind w:right="1050" w:rightChars="500"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pPr>
        <w:tabs>
          <w:tab w:val="left" w:pos="10065"/>
        </w:tabs>
        <w:spacing w:line="360" w:lineRule="auto"/>
        <w:ind w:right="-21" w:rightChars="-10" w:firstLine="495" w:firstLineChars="177"/>
        <w:rPr>
          <w:rFonts w:ascii="仿宋_GB2312" w:hAnsi="仿宋_GB2312" w:eastAsia="仿宋_GB2312" w:cs="仿宋_GB2312"/>
          <w:color w:val="auto"/>
          <w:sz w:val="28"/>
          <w:szCs w:val="28"/>
          <w:highlight w:val="none"/>
        </w:rPr>
      </w:pPr>
    </w:p>
    <w:p>
      <w:pPr>
        <w:tabs>
          <w:tab w:val="left" w:pos="10065"/>
        </w:tabs>
        <w:spacing w:line="360" w:lineRule="auto"/>
        <w:ind w:right="-21" w:rightChars="-10" w:firstLine="495" w:firstLineChars="177"/>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附件：投标人在国家企业信用信息公示系统中未被列入严重违法失信企业名单、在“信用中国”网站中未被列入失信被执行人名单的网页截图复印件。</w:t>
      </w:r>
    </w:p>
    <w:p>
      <w:pPr>
        <w:spacing w:before="156" w:beforeLines="50" w:after="156" w:afterLines="50" w:line="400" w:lineRule="exact"/>
        <w:ind w:right="1050" w:rightChars="500" w:firstLine="560" w:firstLineChars="200"/>
        <w:rPr>
          <w:rFonts w:ascii="仿宋_GB2312" w:hAnsi="仿宋_GB2312" w:eastAsia="仿宋_GB2312" w:cs="仿宋_GB2312"/>
          <w:color w:val="auto"/>
          <w:sz w:val="28"/>
          <w:szCs w:val="28"/>
          <w:highlight w:val="none"/>
        </w:rPr>
      </w:pPr>
    </w:p>
    <w:p>
      <w:pPr>
        <w:spacing w:line="360" w:lineRule="exact"/>
        <w:ind w:left="1050" w:leftChars="500" w:right="1050" w:rightChars="500" w:firstLine="560" w:firstLineChars="200"/>
        <w:rPr>
          <w:rFonts w:ascii="仿宋_GB2312" w:hAnsi="仿宋_GB2312" w:eastAsia="仿宋_GB2312" w:cs="仿宋_GB2312"/>
          <w:color w:val="auto"/>
          <w:sz w:val="28"/>
          <w:szCs w:val="28"/>
          <w:highlight w:val="none"/>
        </w:rPr>
      </w:pP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法定代表人或其授权委托人(签字或盖章)：</w:t>
      </w:r>
      <w:r>
        <w:rPr>
          <w:rFonts w:hint="eastAsia" w:ascii="仿宋_GB2312" w:hAnsi="仿宋_GB2312" w:eastAsia="仿宋_GB2312" w:cs="仿宋_GB2312"/>
          <w:color w:val="auto"/>
          <w:sz w:val="28"/>
          <w:szCs w:val="28"/>
          <w:highlight w:val="none"/>
          <w:u w:val="singl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 xml:space="preserve">              </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spacing w:before="312" w:beforeLines="100" w:after="312" w:afterLines="100" w:line="360" w:lineRule="auto"/>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投标人关联单位说明</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说明：投标人应当如实披露与本单位存在下列关联关系的单位名称：</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（1）与投标人单位法定代表人为同一人的其他单位；</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（2）与投标人存在直接控股、管理关系的其他单位。</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注：若无此情形，写“无”即可</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法定代表人或其授权委托人(签字或盖章)：</w:t>
      </w:r>
      <w:r>
        <w:rPr>
          <w:rFonts w:hint="eastAsia" w:ascii="仿宋_GB2312" w:hAnsi="仿宋_GB2312" w:eastAsia="仿宋_GB2312" w:cs="仿宋_GB2312"/>
          <w:color w:val="auto"/>
          <w:sz w:val="28"/>
          <w:szCs w:val="28"/>
          <w:highlight w:val="none"/>
          <w:u w:val="singl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反商业贿赂承诺书</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我公司承诺：</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在招标活动中，我公司保证做到：</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一、公平竞争参加本次招标活动。</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杜绝任何形式的商业贿赂行为。不向招标人工作人员、评审专家及其亲属提供礼品礼金、有价证券、购物券、回扣、佣金、咨询费、劳务费、赞助费、宣传费、宴请；不为其报销各种消费凭证，不支付其旅游、娱乐等费用。</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三、若出现上述行为，我公司及参与投标的工作人员愿意接受按照国家法律法规等有关规定给予的处罚。</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法定代表人或其授权委托人(签字或盖章)：</w:t>
      </w:r>
      <w:r>
        <w:rPr>
          <w:rFonts w:hint="eastAsia" w:ascii="仿宋_GB2312" w:hAnsi="仿宋_GB2312" w:eastAsia="仿宋_GB2312" w:cs="仿宋_GB2312"/>
          <w:color w:val="auto"/>
          <w:sz w:val="28"/>
          <w:szCs w:val="28"/>
          <w:highlight w:val="none"/>
          <w:u w:val="single"/>
        </w:rPr>
        <w:t xml:space="preserve">           </w:t>
      </w:r>
    </w:p>
    <w:p>
      <w:pPr>
        <w:spacing w:line="48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 xml:space="preserve">              </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spacing w:before="312" w:beforeLines="100" w:after="312" w:afterLines="10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类似项目业绩一览表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2004"/>
        <w:gridCol w:w="1854"/>
        <w:gridCol w:w="1144"/>
        <w:gridCol w:w="1144"/>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2004"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项目名称</w:t>
            </w: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合同名称</w:t>
            </w: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合同金额</w:t>
            </w: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合同签订日期</w:t>
            </w: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验收日期</w:t>
            </w: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200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854"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4"/>
                <w:highlight w:val="none"/>
              </w:rPr>
            </w:pPr>
          </w:p>
        </w:tc>
      </w:tr>
    </w:tbl>
    <w:p>
      <w:pPr>
        <w:adjustRightInd w:val="0"/>
        <w:snapToGrid w:val="0"/>
        <w:spacing w:line="360" w:lineRule="auto"/>
        <w:ind w:right="105" w:rightChars="50" w:firstLine="544" w:firstLineChars="227"/>
        <w:jc w:val="left"/>
        <w:rPr>
          <w:rFonts w:ascii="仿宋_GB2312" w:hAnsi="仿宋_GB2312" w:eastAsia="仿宋_GB2312" w:cs="仿宋_GB2312"/>
          <w:color w:val="auto"/>
          <w:sz w:val="24"/>
          <w:highlight w:val="none"/>
        </w:rPr>
      </w:pPr>
    </w:p>
    <w:p>
      <w:pPr>
        <w:pStyle w:val="23"/>
        <w:autoSpaceDE/>
        <w:autoSpaceDN/>
        <w:ind w:firstLine="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注：本表填列投标人的同类或类似业绩，根据评审标准要求填写及提供相关证明材料。</w:t>
      </w:r>
    </w:p>
    <w:p>
      <w:pPr>
        <w:adjustRightInd w:val="0"/>
        <w:snapToGrid w:val="0"/>
        <w:spacing w:line="360" w:lineRule="auto"/>
        <w:ind w:right="105" w:rightChars="50" w:firstLine="544" w:firstLineChars="227"/>
        <w:jc w:val="left"/>
        <w:rPr>
          <w:rFonts w:ascii="仿宋_GB2312" w:hAnsi="仿宋_GB2312" w:eastAsia="仿宋_GB2312" w:cs="仿宋_GB2312"/>
          <w:color w:val="auto"/>
          <w:sz w:val="24"/>
          <w:highlight w:val="none"/>
        </w:rPr>
      </w:pPr>
    </w:p>
    <w:p>
      <w:pPr>
        <w:adjustRightInd w:val="0"/>
        <w:snapToGrid w:val="0"/>
        <w:spacing w:line="480" w:lineRule="auto"/>
        <w:ind w:right="105" w:right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投标人名称（加盖单位公章）：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pPr>
        <w:adjustRightInd w:val="0"/>
        <w:snapToGrid w:val="0"/>
        <w:spacing w:line="480" w:lineRule="auto"/>
        <w:ind w:right="105" w:rightChars="5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3"/>
        <w:adjustRightInd w:val="0"/>
        <w:snapToGrid w:val="0"/>
        <w:spacing w:before="0" w:after="0" w:line="240" w:lineRule="auto"/>
        <w:jc w:val="left"/>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实施方案</w:t>
      </w:r>
    </w:p>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投标人应按以下要点编制实施方案，契合项目实际，突出重点，抓住关键。</w:t>
      </w:r>
    </w:p>
    <w:p>
      <w:pPr>
        <w:keepNext/>
        <w:keepLines/>
        <w:spacing w:before="260" w:after="260" w:line="360" w:lineRule="auto"/>
        <w:outlineLvl w:val="2"/>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请应答人根据本项目规范书的要求，结合自身实际工作情况及相关项目经验，给出项目方案建议书。项目方案建议书应至少包括以下内容：</w:t>
      </w:r>
    </w:p>
    <w:p>
      <w:pPr>
        <w:keepNext/>
        <w:keepLines/>
        <w:spacing w:before="260" w:after="260" w:line="360" w:lineRule="auto"/>
        <w:outlineLvl w:val="2"/>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（1）代理机构的公司简介。</w:t>
      </w:r>
    </w:p>
    <w:p>
      <w:pPr>
        <w:keepNext/>
        <w:keepLines/>
        <w:spacing w:before="260" w:after="260" w:line="360" w:lineRule="auto"/>
        <w:outlineLvl w:val="2"/>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（2）代理机构拟投入本项目的团队人员及介绍，并按要求提供相关证明材料。</w:t>
      </w:r>
    </w:p>
    <w:p>
      <w:pPr>
        <w:keepNext/>
        <w:keepLines/>
        <w:spacing w:before="260" w:after="260" w:line="360" w:lineRule="auto"/>
        <w:outlineLvl w:val="2"/>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3</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重点难点分析：考察投标人重点难点分析及稽查工作功能（包含但不限于：潜在投标人之间的管理关系、股权关系；投标人文件内容的雷同性；投标人文件的报价规律性等）的科学合理、可行性，</w:t>
      </w:r>
    </w:p>
    <w:p>
      <w:pPr>
        <w:keepNext/>
        <w:keepLines/>
        <w:spacing w:before="260" w:after="260" w:line="360" w:lineRule="auto"/>
        <w:outlineLvl w:val="2"/>
        <w:rPr>
          <w:rFonts w:hint="eastAsia" w:ascii="仿宋_GB2312" w:hAnsi="仿宋_GB2312" w:eastAsia="仿宋_GB2312" w:cs="仿宋_GB2312"/>
          <w:bCs/>
          <w:color w:val="auto"/>
          <w:kern w:val="0"/>
          <w:sz w:val="28"/>
          <w:szCs w:val="28"/>
          <w:highlight w:val="none"/>
          <w:lang w:eastAsia="zh-CN"/>
        </w:rPr>
      </w:pP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4</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充分理解采购人和国有企业招标采购管理的特点，以提高招标采购质量和效益为目标，包括但不限于在优化管理方法、提高招标成功率、培训支持、管理咨询、增值服务等方面提出针对性的合理化建议和明晰有效的具体方案举措</w:t>
      </w:r>
      <w:r>
        <w:rPr>
          <w:rFonts w:hint="eastAsia" w:ascii="仿宋_GB2312" w:hAnsi="仿宋_GB2312" w:eastAsia="仿宋_GB2312" w:cs="仿宋_GB2312"/>
          <w:bCs/>
          <w:color w:val="auto"/>
          <w:kern w:val="0"/>
          <w:sz w:val="28"/>
          <w:szCs w:val="28"/>
          <w:highlight w:val="none"/>
          <w:lang w:eastAsia="zh-CN"/>
        </w:rPr>
        <w:t>。</w:t>
      </w:r>
    </w:p>
    <w:p>
      <w:pPr>
        <w:keepNext/>
        <w:keepLines/>
        <w:spacing w:before="260" w:after="260" w:line="360" w:lineRule="auto"/>
        <w:outlineLvl w:val="2"/>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lang w:val="en-US" w:eastAsia="zh-CN"/>
        </w:rPr>
        <w:t>5</w:t>
      </w:r>
      <w:r>
        <w:rPr>
          <w:rFonts w:hint="eastAsia" w:ascii="仿宋_GB2312" w:hAnsi="仿宋_GB2312" w:eastAsia="仿宋_GB2312" w:cs="仿宋_GB2312"/>
          <w:bCs/>
          <w:color w:val="auto"/>
          <w:kern w:val="0"/>
          <w:sz w:val="28"/>
          <w:szCs w:val="28"/>
          <w:highlight w:val="none"/>
          <w:lang w:eastAsia="zh-CN"/>
        </w:rPr>
        <w:t>）</w:t>
      </w:r>
      <w:r>
        <w:rPr>
          <w:rFonts w:hint="eastAsia" w:ascii="仿宋_GB2312" w:hAnsi="仿宋_GB2312" w:eastAsia="仿宋_GB2312" w:cs="仿宋_GB2312"/>
          <w:bCs/>
          <w:color w:val="auto"/>
          <w:kern w:val="0"/>
          <w:sz w:val="28"/>
          <w:szCs w:val="28"/>
          <w:highlight w:val="none"/>
        </w:rPr>
        <w:t>考察保密措施的合理、可行性</w:t>
      </w:r>
    </w:p>
    <w:p>
      <w:pPr>
        <w:keepNext/>
        <w:keepLines/>
        <w:spacing w:before="260" w:after="260" w:line="360" w:lineRule="auto"/>
        <w:outlineLvl w:val="2"/>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（4）代理机构认为有必要在项目建议书中进行阐述的其他内容。</w:t>
      </w:r>
    </w:p>
    <w:p>
      <w:pPr>
        <w:numPr>
          <w:ilvl w:val="0"/>
          <w:numId w:val="7"/>
        </w:numPr>
        <w:ind w:left="0" w:leftChars="0"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spacing w:before="312" w:beforeLines="100" w:after="312" w:afterLines="100" w:line="360" w:lineRule="auto"/>
        <w:jc w:val="center"/>
        <w:rPr>
          <w:rFonts w:hint="eastAsia" w:ascii="仿宋_GB2312" w:hAnsi="仿宋_GB2312" w:eastAsia="仿宋_GB2312" w:cs="仿宋_GB2312"/>
          <w:b/>
          <w:bCs/>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7"/>
        <w:spacing w:line="360" w:lineRule="auto"/>
        <w:jc w:val="center"/>
        <w:rPr>
          <w:rFonts w:ascii="宋体" w:hAnsi="宋体"/>
          <w:b/>
          <w:bCs/>
          <w:color w:val="auto"/>
          <w:sz w:val="30"/>
          <w:szCs w:val="30"/>
        </w:rPr>
      </w:pPr>
      <w:r>
        <w:rPr>
          <w:rFonts w:hint="eastAsia" w:ascii="仿宋" w:hAnsi="仿宋" w:eastAsia="仿宋" w:cs="仿宋"/>
          <w:color w:val="auto"/>
          <w:kern w:val="0"/>
          <w:sz w:val="28"/>
          <w:szCs w:val="28"/>
          <w:highlight w:val="none"/>
        </w:rPr>
        <w:t>商务技术偏离表</w:t>
      </w:r>
    </w:p>
    <w:p>
      <w:pPr>
        <w:snapToGrid w:val="0"/>
        <w:spacing w:line="360" w:lineRule="auto"/>
        <w:rPr>
          <w:rFonts w:ascii="宋体" w:hAnsi="宋体"/>
          <w:color w:val="auto"/>
          <w:szCs w:val="21"/>
        </w:rPr>
      </w:pPr>
      <w:r>
        <w:rPr>
          <w:rFonts w:hint="eastAsia" w:ascii="宋体" w:hAnsi="宋体"/>
          <w:color w:val="auto"/>
          <w:szCs w:val="21"/>
        </w:rPr>
        <w:t xml:space="preserve">项目编号：                             </w:t>
      </w:r>
    </w:p>
    <w:p>
      <w:pPr>
        <w:snapToGrid w:val="0"/>
        <w:spacing w:line="360" w:lineRule="auto"/>
        <w:rPr>
          <w:rFonts w:ascii="宋体" w:hAnsi="宋体"/>
          <w:color w:val="auto"/>
        </w:rPr>
      </w:pPr>
      <w:r>
        <w:rPr>
          <w:rFonts w:hint="eastAsia" w:ascii="宋体" w:hAnsi="宋体"/>
          <w:color w:val="auto"/>
          <w:szCs w:val="21"/>
        </w:rPr>
        <w:t>项目名称：</w:t>
      </w:r>
      <w:r>
        <w:rPr>
          <w:rFonts w:hint="eastAsia" w:ascii="宋体" w:hAnsi="宋体"/>
          <w:color w:val="auto"/>
        </w:rPr>
        <w:t xml:space="preserve"> </w:t>
      </w:r>
    </w:p>
    <w:tbl>
      <w:tblPr>
        <w:tblStyle w:val="18"/>
        <w:tblW w:w="8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8"/>
        <w:gridCol w:w="3827"/>
        <w:gridCol w:w="1276"/>
        <w:gridCol w:w="992"/>
        <w:gridCol w:w="709"/>
        <w:gridCol w:w="11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2" w:hRule="atLeast"/>
          <w:jc w:val="center"/>
        </w:trPr>
        <w:tc>
          <w:tcPr>
            <w:tcW w:w="778" w:type="dxa"/>
            <w:tcBorders>
              <w:top w:val="single" w:color="auto" w:sz="1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序号</w:t>
            </w:r>
          </w:p>
        </w:tc>
        <w:tc>
          <w:tcPr>
            <w:tcW w:w="3827" w:type="dxa"/>
            <w:tcBorders>
              <w:top w:val="single" w:color="auto" w:sz="1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b/>
                <w:bCs/>
                <w:color w:val="auto"/>
                <w:sz w:val="30"/>
                <w:szCs w:val="30"/>
              </w:rPr>
            </w:pPr>
            <w:r>
              <w:rPr>
                <w:rFonts w:hint="eastAsia" w:ascii="宋体" w:hAnsi="宋体"/>
                <w:color w:val="auto"/>
              </w:rPr>
              <w:t>要求内容</w:t>
            </w:r>
          </w:p>
        </w:tc>
        <w:tc>
          <w:tcPr>
            <w:tcW w:w="1276" w:type="dxa"/>
            <w:tcBorders>
              <w:top w:val="single" w:color="auto" w:sz="1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lang w:eastAsia="zh-CN"/>
              </w:rPr>
              <w:t>投标</w:t>
            </w:r>
            <w:r>
              <w:rPr>
                <w:rFonts w:hint="eastAsia" w:ascii="宋体" w:hAnsi="宋体"/>
                <w:color w:val="auto"/>
              </w:rPr>
              <w:t>响应</w:t>
            </w:r>
          </w:p>
          <w:p>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详细内容</w:t>
            </w:r>
          </w:p>
        </w:tc>
        <w:tc>
          <w:tcPr>
            <w:tcW w:w="992" w:type="dxa"/>
            <w:tcBorders>
              <w:top w:val="single" w:color="auto" w:sz="1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pacing w:val="4"/>
              </w:rPr>
            </w:pPr>
            <w:r>
              <w:rPr>
                <w:rFonts w:hint="eastAsia" w:ascii="宋体" w:hAnsi="宋体"/>
                <w:color w:val="auto"/>
                <w:spacing w:val="4"/>
              </w:rPr>
              <w:t>正</w:t>
            </w:r>
            <w:r>
              <w:rPr>
                <w:rFonts w:hint="default" w:ascii="宋体" w:hAnsi="宋体"/>
                <w:color w:val="auto"/>
                <w:spacing w:val="4"/>
              </w:rPr>
              <w:t>/</w:t>
            </w:r>
            <w:r>
              <w:rPr>
                <w:rFonts w:hint="eastAsia" w:ascii="宋体" w:hAnsi="宋体"/>
                <w:color w:val="auto"/>
                <w:spacing w:val="4"/>
              </w:rPr>
              <w:t>负</w:t>
            </w:r>
            <w:r>
              <w:rPr>
                <w:rFonts w:hint="default" w:ascii="宋体" w:hAnsi="宋体"/>
                <w:color w:val="auto"/>
                <w:spacing w:val="4"/>
              </w:rPr>
              <w:t>/</w:t>
            </w:r>
          </w:p>
          <w:p>
            <w:pPr>
              <w:keepNext w:val="0"/>
              <w:keepLines w:val="0"/>
              <w:suppressLineNumbers w:val="0"/>
              <w:spacing w:before="0" w:beforeAutospacing="0" w:after="0" w:afterAutospacing="0" w:line="360" w:lineRule="auto"/>
              <w:ind w:left="0" w:right="0"/>
              <w:jc w:val="center"/>
              <w:rPr>
                <w:rFonts w:hint="default" w:ascii="宋体" w:hAnsi="宋体" w:cs="Arial"/>
                <w:color w:val="auto"/>
                <w:szCs w:val="21"/>
              </w:rPr>
            </w:pPr>
            <w:r>
              <w:rPr>
                <w:rFonts w:hint="eastAsia" w:ascii="宋体" w:hAnsi="宋体"/>
                <w:color w:val="auto"/>
              </w:rPr>
              <w:t>无偏离</w:t>
            </w:r>
          </w:p>
        </w:tc>
        <w:tc>
          <w:tcPr>
            <w:tcW w:w="709" w:type="dxa"/>
            <w:tcBorders>
              <w:top w:val="single" w:color="auto" w:sz="1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Arial"/>
                <w:color w:val="auto"/>
                <w:szCs w:val="21"/>
              </w:rPr>
            </w:pPr>
            <w:r>
              <w:rPr>
                <w:rFonts w:hint="eastAsia" w:ascii="宋体" w:hAnsi="宋体" w:cs="Arial"/>
                <w:color w:val="auto"/>
                <w:szCs w:val="21"/>
              </w:rPr>
              <w:t>偏离</w:t>
            </w:r>
          </w:p>
          <w:p>
            <w:pPr>
              <w:keepNext w:val="0"/>
              <w:keepLines w:val="0"/>
              <w:suppressLineNumbers w:val="0"/>
              <w:spacing w:before="0" w:beforeAutospacing="0" w:after="0" w:afterAutospacing="0" w:line="360" w:lineRule="auto"/>
              <w:ind w:left="0" w:right="0"/>
              <w:jc w:val="center"/>
              <w:rPr>
                <w:rFonts w:hint="default" w:ascii="宋体" w:hAnsi="宋体" w:cs="Arial"/>
                <w:color w:val="auto"/>
                <w:szCs w:val="21"/>
              </w:rPr>
            </w:pPr>
            <w:r>
              <w:rPr>
                <w:rFonts w:hint="eastAsia" w:ascii="宋体" w:hAnsi="宋体" w:cs="Arial"/>
                <w:color w:val="auto"/>
                <w:szCs w:val="21"/>
              </w:rPr>
              <w:t>说明</w:t>
            </w:r>
          </w:p>
        </w:tc>
        <w:tc>
          <w:tcPr>
            <w:tcW w:w="1196" w:type="dxa"/>
            <w:tcBorders>
              <w:top w:val="single" w:color="auto" w:sz="1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Arial"/>
                <w:color w:val="auto"/>
                <w:szCs w:val="21"/>
              </w:rPr>
            </w:pPr>
            <w:r>
              <w:rPr>
                <w:rFonts w:hint="eastAsia" w:ascii="宋体" w:hAnsi="宋体" w:cs="Arial"/>
                <w:color w:val="auto"/>
                <w:szCs w:val="21"/>
                <w:lang w:eastAsia="zh-CN"/>
              </w:rPr>
              <w:t>投标</w:t>
            </w:r>
            <w:r>
              <w:rPr>
                <w:rFonts w:hint="eastAsia" w:ascii="宋体" w:hAnsi="宋体" w:cs="Arial"/>
                <w:color w:val="auto"/>
                <w:szCs w:val="21"/>
              </w:rPr>
              <w:t>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6" w:hRule="atLeast"/>
          <w:jc w:val="center"/>
        </w:trPr>
        <w:tc>
          <w:tcPr>
            <w:tcW w:w="778" w:type="dxa"/>
            <w:tcBorders>
              <w:top w:val="single" w:color="auto" w:sz="2" w:space="0"/>
            </w:tcBorders>
            <w:vAlign w:val="center"/>
          </w:tcPr>
          <w:p>
            <w:pPr>
              <w:pStyle w:val="24"/>
              <w:keepNext w:val="0"/>
              <w:keepLines w:val="0"/>
              <w:numPr>
                <w:ilvl w:val="0"/>
                <w:numId w:val="8"/>
              </w:numPr>
              <w:suppressLineNumbers w:val="0"/>
              <w:spacing w:before="0" w:beforeAutospacing="0" w:after="0" w:afterAutospacing="0" w:line="360" w:lineRule="auto"/>
              <w:ind w:right="0" w:firstLineChars="0"/>
              <w:jc w:val="center"/>
              <w:rPr>
                <w:rFonts w:hint="default" w:ascii="宋体" w:hAnsi="宋体"/>
                <w:color w:val="auto"/>
              </w:rPr>
            </w:pPr>
          </w:p>
        </w:tc>
        <w:tc>
          <w:tcPr>
            <w:tcW w:w="3827" w:type="dxa"/>
            <w:tcBorders>
              <w:top w:val="single" w:color="auto" w:sz="2"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p>
        </w:tc>
        <w:tc>
          <w:tcPr>
            <w:tcW w:w="1276" w:type="dxa"/>
            <w:tcBorders>
              <w:top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992" w:type="dxa"/>
            <w:tcBorders>
              <w:top w:val="single" w:color="auto" w:sz="2" w:space="0"/>
            </w:tcBorders>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709" w:type="dxa"/>
            <w:tcBorders>
              <w:top w:val="single" w:color="auto" w:sz="2" w:space="0"/>
            </w:tcBorders>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1196" w:type="dxa"/>
            <w:tcBorders>
              <w:top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778" w:type="dxa"/>
            <w:vAlign w:val="center"/>
          </w:tcPr>
          <w:p>
            <w:pPr>
              <w:pStyle w:val="24"/>
              <w:keepNext w:val="0"/>
              <w:keepLines w:val="0"/>
              <w:numPr>
                <w:ilvl w:val="0"/>
                <w:numId w:val="8"/>
              </w:numPr>
              <w:suppressLineNumbers w:val="0"/>
              <w:spacing w:before="0" w:beforeAutospacing="0" w:after="0" w:afterAutospacing="0" w:line="360" w:lineRule="auto"/>
              <w:ind w:right="0" w:firstLineChars="0"/>
              <w:jc w:val="center"/>
              <w:rPr>
                <w:rFonts w:hint="default" w:ascii="宋体" w:hAnsi="宋体"/>
                <w:color w:val="auto"/>
              </w:rPr>
            </w:pPr>
          </w:p>
        </w:tc>
        <w:tc>
          <w:tcPr>
            <w:tcW w:w="3827"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p>
        </w:tc>
        <w:tc>
          <w:tcPr>
            <w:tcW w:w="12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992" w:type="dxa"/>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709" w:type="dxa"/>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119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6" w:hRule="atLeast"/>
          <w:jc w:val="center"/>
        </w:trPr>
        <w:tc>
          <w:tcPr>
            <w:tcW w:w="778" w:type="dxa"/>
            <w:vAlign w:val="center"/>
          </w:tcPr>
          <w:p>
            <w:pPr>
              <w:pStyle w:val="24"/>
              <w:keepNext w:val="0"/>
              <w:keepLines w:val="0"/>
              <w:numPr>
                <w:ilvl w:val="0"/>
                <w:numId w:val="8"/>
              </w:numPr>
              <w:suppressLineNumbers w:val="0"/>
              <w:spacing w:before="0" w:beforeAutospacing="0" w:after="0" w:afterAutospacing="0" w:line="360" w:lineRule="auto"/>
              <w:ind w:right="0" w:firstLineChars="0"/>
              <w:jc w:val="center"/>
              <w:rPr>
                <w:rFonts w:hint="default" w:ascii="宋体" w:hAnsi="宋体"/>
                <w:color w:val="auto"/>
              </w:rPr>
            </w:pPr>
          </w:p>
        </w:tc>
        <w:tc>
          <w:tcPr>
            <w:tcW w:w="3827"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p>
        </w:tc>
        <w:tc>
          <w:tcPr>
            <w:tcW w:w="12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992" w:type="dxa"/>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709" w:type="dxa"/>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119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3" w:hRule="atLeast"/>
          <w:jc w:val="center"/>
        </w:trPr>
        <w:tc>
          <w:tcPr>
            <w:tcW w:w="7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r>
              <w:rPr>
                <w:rFonts w:hint="eastAsia" w:ascii="宋体" w:hAnsi="宋体"/>
                <w:color w:val="auto"/>
              </w:rPr>
              <w:t>…</w:t>
            </w:r>
          </w:p>
        </w:tc>
        <w:tc>
          <w:tcPr>
            <w:tcW w:w="3827" w:type="dxa"/>
            <w:vAlign w:val="center"/>
          </w:tcPr>
          <w:p>
            <w:pPr>
              <w:keepNext w:val="0"/>
              <w:keepLines w:val="0"/>
              <w:suppressLineNumbers w:val="0"/>
              <w:spacing w:before="0" w:beforeAutospacing="0" w:after="0" w:afterAutospacing="0" w:line="360" w:lineRule="auto"/>
              <w:ind w:left="0" w:right="0"/>
              <w:rPr>
                <w:rFonts w:hint="default" w:ascii="宋体" w:hAnsi="宋体"/>
                <w:color w:val="auto"/>
              </w:rPr>
            </w:pPr>
          </w:p>
        </w:tc>
        <w:tc>
          <w:tcPr>
            <w:tcW w:w="12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992" w:type="dxa"/>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709" w:type="dxa"/>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c>
          <w:tcPr>
            <w:tcW w:w="119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rPr>
            </w:pPr>
          </w:p>
        </w:tc>
      </w:tr>
    </w:tbl>
    <w:p>
      <w:pPr>
        <w:spacing w:line="360" w:lineRule="auto"/>
        <w:ind w:left="945" w:hanging="945" w:hangingChars="450"/>
        <w:rPr>
          <w:rFonts w:hint="eastAsia" w:ascii="宋体" w:hAnsi="宋体" w:cs="Arial"/>
          <w:color w:val="auto"/>
          <w:szCs w:val="21"/>
        </w:rPr>
      </w:pPr>
      <w:bookmarkStart w:id="23" w:name="_Hlk809083"/>
    </w:p>
    <w:p>
      <w:pPr>
        <w:spacing w:line="360" w:lineRule="auto"/>
        <w:jc w:val="left"/>
        <w:rPr>
          <w:rFonts w:hint="eastAsia" w:ascii="宋体" w:hAnsi="宋体" w:cs="Arial"/>
          <w:color w:val="auto"/>
          <w:szCs w:val="21"/>
        </w:rPr>
      </w:pPr>
      <w:r>
        <w:rPr>
          <w:rFonts w:hint="eastAsia" w:ascii="宋体" w:hAnsi="宋体" w:cs="Arial"/>
          <w:color w:val="auto"/>
          <w:szCs w:val="21"/>
        </w:rPr>
        <w:t>备注：</w:t>
      </w:r>
      <w:r>
        <w:rPr>
          <w:rFonts w:ascii="宋体" w:hAnsi="宋体" w:cs="Arial"/>
          <w:color w:val="auto"/>
          <w:szCs w:val="21"/>
        </w:rPr>
        <w:t>1</w:t>
      </w:r>
      <w:r>
        <w:rPr>
          <w:rFonts w:hint="eastAsia" w:ascii="宋体" w:hAnsi="宋体" w:cs="Arial"/>
          <w:color w:val="auto"/>
          <w:szCs w:val="21"/>
        </w:rPr>
        <w:t>、</w:t>
      </w:r>
      <w:bookmarkEnd w:id="23"/>
      <w:r>
        <w:rPr>
          <w:rFonts w:hint="eastAsia" w:ascii="宋体" w:hAnsi="宋体" w:cs="Arial"/>
          <w:color w:val="auto"/>
          <w:szCs w:val="21"/>
          <w:lang w:val="en-US" w:eastAsia="zh-CN"/>
        </w:rPr>
        <w:t>有相关情况请按实际填写</w:t>
      </w:r>
      <w:r>
        <w:rPr>
          <w:rFonts w:hint="eastAsia" w:ascii="宋体" w:hAnsi="宋体" w:cs="Arial"/>
          <w:color w:val="auto"/>
          <w:szCs w:val="21"/>
        </w:rPr>
        <w:t>。</w:t>
      </w:r>
    </w:p>
    <w:p>
      <w:pPr>
        <w:spacing w:line="360" w:lineRule="auto"/>
        <w:ind w:firstLine="630" w:firstLineChars="300"/>
        <w:jc w:val="left"/>
        <w:rPr>
          <w:rFonts w:hint="default" w:ascii="宋体" w:hAnsi="宋体" w:eastAsia="宋体" w:cs="Arial"/>
          <w:color w:val="auto"/>
          <w:szCs w:val="21"/>
          <w:lang w:val="en-US" w:eastAsia="zh-CN"/>
        </w:rPr>
      </w:pPr>
      <w:r>
        <w:rPr>
          <w:rFonts w:hint="eastAsia" w:ascii="宋体" w:hAnsi="宋体" w:cs="Arial"/>
          <w:color w:val="auto"/>
          <w:szCs w:val="21"/>
          <w:lang w:val="en-US" w:eastAsia="zh-CN"/>
        </w:rPr>
        <w:t>2、未填写相关情况的将视为无偏离。</w:t>
      </w:r>
    </w:p>
    <w:p>
      <w:pPr>
        <w:spacing w:line="360" w:lineRule="auto"/>
        <w:ind w:firstLine="105" w:firstLineChars="50"/>
        <w:rPr>
          <w:rFonts w:ascii="宋体" w:hAnsi="宋体"/>
          <w:color w:val="auto"/>
        </w:rPr>
      </w:pPr>
      <w:r>
        <w:rPr>
          <w:rFonts w:ascii="宋体" w:hAnsi="宋体"/>
          <w:color w:val="auto"/>
        </w:rPr>
        <w:t xml:space="preserve">                                              </w:t>
      </w:r>
    </w:p>
    <w:p>
      <w:pPr>
        <w:adjustRightInd w:val="0"/>
        <w:snapToGrid w:val="0"/>
        <w:spacing w:line="480" w:lineRule="auto"/>
        <w:ind w:right="105" w:right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投标人名称（加盖单位公章）：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pPr>
        <w:adjustRightInd w:val="0"/>
        <w:snapToGrid w:val="0"/>
        <w:spacing w:line="480" w:lineRule="auto"/>
        <w:ind w:right="105" w:rightChars="5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highlight w:val="none"/>
        </w:rPr>
        <w:t>日 期：</w:t>
      </w:r>
      <w:r>
        <w:rPr>
          <w:rFonts w:hint="eastAsia" w:ascii="仿宋_GB2312" w:hAnsi="仿宋_GB2312" w:eastAsia="仿宋_GB2312" w:cs="仿宋_GB2312"/>
          <w:color w:val="auto"/>
          <w:sz w:val="24"/>
          <w:highlight w:val="none"/>
          <w:u w:val="single"/>
        </w:rPr>
        <w:t xml:space="preserve">               </w:t>
      </w:r>
    </w:p>
    <w:p>
      <w:pPr>
        <w:spacing w:before="312" w:beforeLines="100" w:after="312" w:afterLines="100" w:line="360" w:lineRule="auto"/>
        <w:jc w:val="center"/>
        <w:rPr>
          <w:rFonts w:hint="eastAsia" w:ascii="仿宋_GB2312" w:hAnsi="仿宋_GB2312" w:eastAsia="仿宋_GB2312" w:cs="仿宋_GB2312"/>
          <w:b/>
          <w:bCs/>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312" w:beforeLines="100" w:after="312" w:afterLines="100" w:line="360" w:lineRule="auto"/>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投标文件评审索引表</w:t>
      </w:r>
    </w:p>
    <w:p>
      <w:pPr>
        <w:rPr>
          <w:rFonts w:ascii="仿宋_GB2312" w:hAnsi="仿宋_GB2312" w:eastAsia="仿宋_GB2312" w:cs="仿宋_GB2312"/>
          <w:color w:val="auto"/>
          <w:sz w:val="28"/>
          <w:szCs w:val="28"/>
          <w:highlight w:val="none"/>
        </w:rPr>
      </w:pPr>
    </w:p>
    <w:tbl>
      <w:tblPr>
        <w:tblStyle w:val="18"/>
        <w:tblW w:w="80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3189"/>
        <w:gridCol w:w="1808"/>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序号</w:t>
            </w:r>
          </w:p>
        </w:tc>
        <w:tc>
          <w:tcPr>
            <w:tcW w:w="318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评审因素</w:t>
            </w: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满足评审情况说明</w:t>
            </w: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页码索引</w:t>
            </w: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3189"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808" w:type="dxa"/>
            <w:tcBorders>
              <w:lef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c>
          <w:tcPr>
            <w:tcW w:w="114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rPr>
                <w:rFonts w:hint="default" w:ascii="仿宋_GB2312" w:hAnsi="仿宋_GB2312" w:eastAsia="仿宋_GB2312" w:cs="仿宋_GB2312"/>
                <w:color w:val="auto"/>
                <w:sz w:val="28"/>
                <w:szCs w:val="28"/>
                <w:highlight w:val="none"/>
              </w:rPr>
            </w:pPr>
          </w:p>
        </w:tc>
      </w:tr>
    </w:tbl>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pStyle w:val="8"/>
        <w:spacing w:line="240" w:lineRule="auto"/>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highlight w:val="none"/>
        </w:rPr>
      </w:pPr>
    </w:p>
    <w:p>
      <w:pPr>
        <w:adjustRightInd w:val="0"/>
        <w:snapToGrid w:val="0"/>
        <w:spacing w:line="480" w:lineRule="auto"/>
        <w:ind w:right="105" w:rightChars="5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投标人名称（加盖单位公章）：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pPr>
        <w:adjustRightInd w:val="0"/>
        <w:snapToGrid w:val="0"/>
        <w:spacing w:line="480" w:lineRule="auto"/>
        <w:ind w:right="105" w:rightChars="5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p>
    <w:p>
      <w:pPr>
        <w:rPr>
          <w:color w:val="auto"/>
          <w:sz w:val="28"/>
          <w:szCs w:val="28"/>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6"/>
      </w:pPr>
      <w:r>
        <w:rPr>
          <w:rStyle w:val="22"/>
        </w:rPr>
        <w:footnoteRef/>
      </w:r>
      <w:r>
        <w:t xml:space="preserve"> </w:t>
      </w:r>
      <w:r>
        <w:rPr>
          <w:rFonts w:hint="eastAsia"/>
        </w:rPr>
        <w:t>单位负责人是指单位的法定代表人或者法律、行政法规规定代表单位行使职权的主要负责人。</w:t>
      </w:r>
    </w:p>
  </w:footnote>
  <w:footnote w:id="1">
    <w:p>
      <w:pPr>
        <w:pStyle w:val="16"/>
      </w:pPr>
      <w:r>
        <w:rPr>
          <w:rStyle w:val="22"/>
        </w:rPr>
        <w:footnoteRef/>
      </w:r>
      <w:r>
        <w:t xml:space="preserve"> </w:t>
      </w:r>
      <w:r>
        <w:rPr>
          <w:rFonts w:hint="eastAsia"/>
        </w:rPr>
        <w:t>控股是指：股份占股份有限公司股本总额50%以上的绝对控股、相对控股或协议控股。</w:t>
      </w:r>
    </w:p>
  </w:footnote>
  <w:footnote w:id="2">
    <w:p>
      <w:pPr>
        <w:pStyle w:val="16"/>
      </w:pPr>
      <w:r>
        <w:rPr>
          <w:rStyle w:val="22"/>
        </w:rPr>
        <w:footnoteRef/>
      </w:r>
      <w:r>
        <w:t xml:space="preserve"> </w:t>
      </w:r>
      <w:r>
        <w:rPr>
          <w:rFonts w:hint="eastAsia"/>
        </w:rPr>
        <w:t>管理关系是指不具有出资持股关系的其他单位之间存在的管理关系与被管理关系。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F38"/>
    <w:multiLevelType w:val="singleLevel"/>
    <w:tmpl w:val="DFEFFF38"/>
    <w:lvl w:ilvl="0" w:tentative="0">
      <w:start w:val="6"/>
      <w:numFmt w:val="decimal"/>
      <w:suff w:val="nothing"/>
      <w:lvlText w:val="（%1）"/>
      <w:lvlJc w:val="left"/>
    </w:lvl>
  </w:abstractNum>
  <w:abstractNum w:abstractNumId="1">
    <w:nsid w:val="F647CFD7"/>
    <w:multiLevelType w:val="singleLevel"/>
    <w:tmpl w:val="F647CFD7"/>
    <w:lvl w:ilvl="0" w:tentative="0">
      <w:start w:val="1"/>
      <w:numFmt w:val="decimal"/>
      <w:lvlText w:val="%1."/>
      <w:lvlJc w:val="left"/>
      <w:pPr>
        <w:tabs>
          <w:tab w:val="left" w:pos="312"/>
        </w:tabs>
      </w:pPr>
    </w:lvl>
  </w:abstractNum>
  <w:abstractNum w:abstractNumId="2">
    <w:nsid w:val="F81371DC"/>
    <w:multiLevelType w:val="singleLevel"/>
    <w:tmpl w:val="F81371DC"/>
    <w:lvl w:ilvl="0" w:tentative="0">
      <w:start w:val="4"/>
      <w:numFmt w:val="chineseCounting"/>
      <w:suff w:val="space"/>
      <w:lvlText w:val="第%1章"/>
      <w:lvlJc w:val="left"/>
      <w:rPr>
        <w:rFonts w:hint="eastAsia"/>
      </w:rPr>
    </w:lvl>
  </w:abstractNum>
  <w:abstractNum w:abstractNumId="3">
    <w:nsid w:val="088B6A84"/>
    <w:multiLevelType w:val="singleLevel"/>
    <w:tmpl w:val="088B6A84"/>
    <w:lvl w:ilvl="0" w:tentative="0">
      <w:start w:val="1"/>
      <w:numFmt w:val="decimal"/>
      <w:suff w:val="nothing"/>
      <w:lvlText w:val="%1、"/>
      <w:lvlJc w:val="left"/>
    </w:lvl>
  </w:abstractNum>
  <w:abstractNum w:abstractNumId="4">
    <w:nsid w:val="3B3E7E9B"/>
    <w:multiLevelType w:val="multilevel"/>
    <w:tmpl w:val="3B3E7E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5B584F"/>
    <w:multiLevelType w:val="singleLevel"/>
    <w:tmpl w:val="765B584F"/>
    <w:lvl w:ilvl="0" w:tentative="0">
      <w:start w:val="1"/>
      <w:numFmt w:val="decimal"/>
      <w:suff w:val="space"/>
      <w:lvlText w:val="%1."/>
      <w:lvlJc w:val="left"/>
    </w:lvl>
  </w:abstractNum>
  <w:abstractNum w:abstractNumId="6">
    <w:nsid w:val="7BBD47F9"/>
    <w:multiLevelType w:val="multilevel"/>
    <w:tmpl w:val="7BBD47F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5"/>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D72619C"/>
    <w:multiLevelType w:val="multilevel"/>
    <w:tmpl w:val="7D72619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jdkYTBmMGEwMTJhN2UwMzA5YmM3MDllMzI3M2UifQ=="/>
  </w:docVars>
  <w:rsids>
    <w:rsidRoot w:val="19D60AE7"/>
    <w:rsid w:val="000079C0"/>
    <w:rsid w:val="001E00B8"/>
    <w:rsid w:val="00202B29"/>
    <w:rsid w:val="002A4F98"/>
    <w:rsid w:val="00326830"/>
    <w:rsid w:val="0042256C"/>
    <w:rsid w:val="007C09B9"/>
    <w:rsid w:val="007C27BF"/>
    <w:rsid w:val="00BB1419"/>
    <w:rsid w:val="00DC39BA"/>
    <w:rsid w:val="00DF30C9"/>
    <w:rsid w:val="00EB1A05"/>
    <w:rsid w:val="01F114A6"/>
    <w:rsid w:val="02C352A5"/>
    <w:rsid w:val="02C81B6C"/>
    <w:rsid w:val="03667C72"/>
    <w:rsid w:val="0541053E"/>
    <w:rsid w:val="059748A0"/>
    <w:rsid w:val="05B95AFB"/>
    <w:rsid w:val="0618237D"/>
    <w:rsid w:val="06DB44D3"/>
    <w:rsid w:val="079A757D"/>
    <w:rsid w:val="08386799"/>
    <w:rsid w:val="086A19D0"/>
    <w:rsid w:val="0930072E"/>
    <w:rsid w:val="0D6E2039"/>
    <w:rsid w:val="0DE4770C"/>
    <w:rsid w:val="0EBE0D52"/>
    <w:rsid w:val="0F2C7701"/>
    <w:rsid w:val="0FA04579"/>
    <w:rsid w:val="11096FBC"/>
    <w:rsid w:val="111F0FC2"/>
    <w:rsid w:val="11275DE7"/>
    <w:rsid w:val="115E463D"/>
    <w:rsid w:val="118B1475"/>
    <w:rsid w:val="12083942"/>
    <w:rsid w:val="12F701A3"/>
    <w:rsid w:val="1495298C"/>
    <w:rsid w:val="15033573"/>
    <w:rsid w:val="159B442A"/>
    <w:rsid w:val="162C08A7"/>
    <w:rsid w:val="17ED4832"/>
    <w:rsid w:val="199B6E4C"/>
    <w:rsid w:val="19C72DC1"/>
    <w:rsid w:val="19D60AE7"/>
    <w:rsid w:val="1B397CEE"/>
    <w:rsid w:val="1C827473"/>
    <w:rsid w:val="1CB76115"/>
    <w:rsid w:val="1DF941F6"/>
    <w:rsid w:val="1E5B76B2"/>
    <w:rsid w:val="209B208C"/>
    <w:rsid w:val="20BA2E8D"/>
    <w:rsid w:val="20BD4741"/>
    <w:rsid w:val="20D77146"/>
    <w:rsid w:val="2149070F"/>
    <w:rsid w:val="23040BE2"/>
    <w:rsid w:val="2338088B"/>
    <w:rsid w:val="234D1DEA"/>
    <w:rsid w:val="23CE28D8"/>
    <w:rsid w:val="26031625"/>
    <w:rsid w:val="26F1465A"/>
    <w:rsid w:val="27135897"/>
    <w:rsid w:val="275639D6"/>
    <w:rsid w:val="28327F9F"/>
    <w:rsid w:val="285525AD"/>
    <w:rsid w:val="28991DCC"/>
    <w:rsid w:val="29C235A5"/>
    <w:rsid w:val="2AE32A0B"/>
    <w:rsid w:val="2B493B97"/>
    <w:rsid w:val="2BCF587E"/>
    <w:rsid w:val="2D3A4FE6"/>
    <w:rsid w:val="2EEF6BEA"/>
    <w:rsid w:val="32784D16"/>
    <w:rsid w:val="32BE460A"/>
    <w:rsid w:val="33135831"/>
    <w:rsid w:val="3353615E"/>
    <w:rsid w:val="33CD36D8"/>
    <w:rsid w:val="342C6E1F"/>
    <w:rsid w:val="34457D69"/>
    <w:rsid w:val="359B16C1"/>
    <w:rsid w:val="376E5D61"/>
    <w:rsid w:val="37AB2C19"/>
    <w:rsid w:val="37AB6414"/>
    <w:rsid w:val="37BF7375"/>
    <w:rsid w:val="38EA710A"/>
    <w:rsid w:val="39F135F7"/>
    <w:rsid w:val="3AFF12B6"/>
    <w:rsid w:val="3B6556D1"/>
    <w:rsid w:val="3CA8487C"/>
    <w:rsid w:val="3E57579A"/>
    <w:rsid w:val="3F424B14"/>
    <w:rsid w:val="3FE821B4"/>
    <w:rsid w:val="40A92971"/>
    <w:rsid w:val="41AB6F85"/>
    <w:rsid w:val="4266644D"/>
    <w:rsid w:val="42D63A92"/>
    <w:rsid w:val="449776B0"/>
    <w:rsid w:val="449916BA"/>
    <w:rsid w:val="44DD0E3B"/>
    <w:rsid w:val="457930B3"/>
    <w:rsid w:val="46C21DC9"/>
    <w:rsid w:val="47222D4E"/>
    <w:rsid w:val="48387027"/>
    <w:rsid w:val="48E15C22"/>
    <w:rsid w:val="49575660"/>
    <w:rsid w:val="4A4229EE"/>
    <w:rsid w:val="4A6643F5"/>
    <w:rsid w:val="4AE90A2D"/>
    <w:rsid w:val="4B1B1A3F"/>
    <w:rsid w:val="4E955DA9"/>
    <w:rsid w:val="4F1D07B2"/>
    <w:rsid w:val="4FDA5AA9"/>
    <w:rsid w:val="4FF21AC3"/>
    <w:rsid w:val="51205B1A"/>
    <w:rsid w:val="520C1926"/>
    <w:rsid w:val="53D61DF4"/>
    <w:rsid w:val="540824DA"/>
    <w:rsid w:val="54164A93"/>
    <w:rsid w:val="54302589"/>
    <w:rsid w:val="562D0092"/>
    <w:rsid w:val="5632548A"/>
    <w:rsid w:val="57763155"/>
    <w:rsid w:val="58BA7D95"/>
    <w:rsid w:val="58C44394"/>
    <w:rsid w:val="58D02E43"/>
    <w:rsid w:val="58E3481A"/>
    <w:rsid w:val="58FA344E"/>
    <w:rsid w:val="59747B68"/>
    <w:rsid w:val="5A093652"/>
    <w:rsid w:val="5BA741CE"/>
    <w:rsid w:val="5C0C3C36"/>
    <w:rsid w:val="5C313AEE"/>
    <w:rsid w:val="5D322064"/>
    <w:rsid w:val="5D5E0913"/>
    <w:rsid w:val="5D6A1052"/>
    <w:rsid w:val="608A54F5"/>
    <w:rsid w:val="61306A6A"/>
    <w:rsid w:val="619D6928"/>
    <w:rsid w:val="61C65FDB"/>
    <w:rsid w:val="62E80F92"/>
    <w:rsid w:val="63F57C3D"/>
    <w:rsid w:val="65F82D35"/>
    <w:rsid w:val="66644C16"/>
    <w:rsid w:val="666E24E8"/>
    <w:rsid w:val="66701FD7"/>
    <w:rsid w:val="66E77536"/>
    <w:rsid w:val="68D51CA5"/>
    <w:rsid w:val="69335A4E"/>
    <w:rsid w:val="69656B17"/>
    <w:rsid w:val="69FC0532"/>
    <w:rsid w:val="6A236A13"/>
    <w:rsid w:val="6A3A1088"/>
    <w:rsid w:val="6B661281"/>
    <w:rsid w:val="6CE56BE9"/>
    <w:rsid w:val="6DCF13B9"/>
    <w:rsid w:val="71CB54AB"/>
    <w:rsid w:val="71D447A2"/>
    <w:rsid w:val="72B74068"/>
    <w:rsid w:val="73AB7044"/>
    <w:rsid w:val="74E136FC"/>
    <w:rsid w:val="75C111B3"/>
    <w:rsid w:val="762633E9"/>
    <w:rsid w:val="769A5EB2"/>
    <w:rsid w:val="78DF3E8C"/>
    <w:rsid w:val="78E81581"/>
    <w:rsid w:val="78F83409"/>
    <w:rsid w:val="798C617F"/>
    <w:rsid w:val="79F5128C"/>
    <w:rsid w:val="7A6F0C8B"/>
    <w:rsid w:val="7B1117C8"/>
    <w:rsid w:val="7C98374C"/>
    <w:rsid w:val="7D3779C7"/>
    <w:rsid w:val="7DB167FE"/>
    <w:rsid w:val="7E534B16"/>
    <w:rsid w:val="7E5A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4"/>
    <w:qFormat/>
    <w:uiPriority w:val="0"/>
    <w:pPr>
      <w:keepNext/>
      <w:keepLines/>
      <w:widowControl/>
      <w:numPr>
        <w:ilvl w:val="2"/>
        <w:numId w:val="1"/>
      </w:numPr>
      <w:spacing w:before="120" w:after="120" w:line="360" w:lineRule="auto"/>
      <w:jc w:val="center"/>
      <w:outlineLvl w:val="2"/>
    </w:pPr>
    <w:rPr>
      <w:b/>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text"/>
    <w:basedOn w:val="1"/>
    <w:unhideWhenUsed/>
    <w:qFormat/>
    <w:uiPriority w:val="99"/>
    <w:pPr>
      <w:jc w:val="left"/>
    </w:pPr>
  </w:style>
  <w:style w:type="paragraph" w:styleId="7">
    <w:name w:val="Body Text"/>
    <w:basedOn w:val="1"/>
    <w:link w:val="36"/>
    <w:qFormat/>
    <w:uiPriority w:val="0"/>
    <w:pPr>
      <w:spacing w:after="120" w:afterLines="0" w:afterAutospacing="0"/>
    </w:pPr>
  </w:style>
  <w:style w:type="paragraph" w:styleId="8">
    <w:name w:val="Body Text Indent"/>
    <w:basedOn w:val="1"/>
    <w:next w:val="9"/>
    <w:qFormat/>
    <w:uiPriority w:val="0"/>
    <w:pPr>
      <w:spacing w:line="380" w:lineRule="exact"/>
      <w:ind w:firstLine="480"/>
    </w:pPr>
    <w:rPr>
      <w:rFonts w:eastAsia="方正书宋简体"/>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cs="Courier New"/>
      <w:szCs w:val="21"/>
    </w:rPr>
  </w:style>
  <w:style w:type="paragraph" w:styleId="11">
    <w:name w:val="Date"/>
    <w:basedOn w:val="1"/>
    <w:next w:val="1"/>
    <w:qFormat/>
    <w:uiPriority w:val="0"/>
    <w:pPr>
      <w:ind w:left="100" w:leftChars="2500"/>
    </w:pPr>
    <w:rPr>
      <w:sz w:val="36"/>
    </w:rPr>
  </w:style>
  <w:style w:type="paragraph" w:styleId="12">
    <w:name w:val="Balloon Text"/>
    <w:basedOn w:val="1"/>
    <w:link w:val="35"/>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footnote text"/>
    <w:basedOn w:val="1"/>
    <w:qFormat/>
    <w:uiPriority w:val="0"/>
    <w:pPr>
      <w:snapToGrid w:val="0"/>
      <w:jc w:val="left"/>
    </w:pPr>
    <w:rPr>
      <w:sz w:val="18"/>
    </w:rPr>
  </w:style>
  <w:style w:type="paragraph" w:styleId="17">
    <w:name w:val="Body Text First Indent 2"/>
    <w:basedOn w:val="8"/>
    <w:next w:val="1"/>
    <w:qFormat/>
    <w:uiPriority w:val="0"/>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qFormat/>
    <w:uiPriority w:val="0"/>
    <w:rPr>
      <w:sz w:val="21"/>
      <w:szCs w:val="21"/>
    </w:rPr>
  </w:style>
  <w:style w:type="character" w:styleId="22">
    <w:name w:val="footnote reference"/>
    <w:basedOn w:val="20"/>
    <w:qFormat/>
    <w:uiPriority w:val="0"/>
    <w:rPr>
      <w:vertAlign w:val="superscript"/>
    </w:rPr>
  </w:style>
  <w:style w:type="paragraph" w:customStyle="1" w:styleId="23">
    <w:name w:val="列出段落1"/>
    <w:basedOn w:val="1"/>
    <w:next w:val="24"/>
    <w:qFormat/>
    <w:uiPriority w:val="0"/>
    <w:pPr>
      <w:autoSpaceDE w:val="0"/>
      <w:autoSpaceDN w:val="0"/>
      <w:adjustRightInd w:val="0"/>
      <w:snapToGrid w:val="0"/>
      <w:spacing w:line="360" w:lineRule="auto"/>
      <w:ind w:firstLine="420"/>
    </w:pPr>
    <w:rPr>
      <w:spacing w:val="10"/>
      <w:kern w:val="0"/>
      <w:sz w:val="24"/>
    </w:rPr>
  </w:style>
  <w:style w:type="paragraph" w:styleId="24">
    <w:name w:val="List Paragraph"/>
    <w:basedOn w:val="1"/>
    <w:qFormat/>
    <w:uiPriority w:val="0"/>
    <w:pPr>
      <w:ind w:firstLine="420" w:firstLineChars="200"/>
    </w:pPr>
  </w:style>
  <w:style w:type="paragraph" w:customStyle="1" w:styleId="25">
    <w:name w:val="_Style 2"/>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6">
    <w:name w:val="正文文本 (2)1"/>
    <w:basedOn w:val="1"/>
    <w:qFormat/>
    <w:uiPriority w:val="99"/>
    <w:pPr>
      <w:shd w:val="clear" w:color="auto" w:fill="FFFFFF"/>
      <w:spacing w:before="300" w:line="439" w:lineRule="exact"/>
      <w:jc w:val="distribute"/>
    </w:pPr>
    <w:rPr>
      <w:rFonts w:ascii="MingLiU" w:eastAsia="MingLiU"/>
      <w:spacing w:val="20"/>
      <w:sz w:val="22"/>
      <w:szCs w:val="22"/>
    </w:rPr>
  </w:style>
  <w:style w:type="character" w:customStyle="1" w:styleId="27">
    <w:name w:val="正文文本 (2) + 间距 0 pt3"/>
    <w:qFormat/>
    <w:uiPriority w:val="99"/>
    <w:rPr>
      <w:rFonts w:ascii="MingLiU" w:eastAsia="MingLiU" w:cs="MingLiU"/>
      <w:spacing w:val="0"/>
      <w:sz w:val="22"/>
      <w:szCs w:val="22"/>
      <w:u w:val="none"/>
    </w:rPr>
  </w:style>
  <w:style w:type="character" w:customStyle="1" w:styleId="28">
    <w:name w:val="正文文本 (2) + 间距 0 pt5"/>
    <w:qFormat/>
    <w:uiPriority w:val="99"/>
    <w:rPr>
      <w:rFonts w:ascii="MingLiU" w:eastAsia="MingLiU" w:cs="MingLiU"/>
      <w:spacing w:val="0"/>
      <w:sz w:val="22"/>
      <w:szCs w:val="22"/>
      <w:u w:val="none"/>
    </w:rPr>
  </w:style>
  <w:style w:type="character" w:customStyle="1" w:styleId="29">
    <w:name w:val="正文文本 (2) + 10 pt37"/>
    <w:qFormat/>
    <w:uiPriority w:val="99"/>
    <w:rPr>
      <w:rFonts w:ascii="MingLiU" w:eastAsia="MingLiU" w:cs="MingLiU"/>
      <w:spacing w:val="0"/>
      <w:sz w:val="20"/>
      <w:szCs w:val="20"/>
      <w:u w:val="none"/>
    </w:rPr>
  </w:style>
  <w:style w:type="character" w:customStyle="1" w:styleId="30">
    <w:name w:val="正文文本 (2) + 10 pt24"/>
    <w:qFormat/>
    <w:uiPriority w:val="99"/>
    <w:rPr>
      <w:rFonts w:ascii="MingLiU" w:eastAsia="MingLiU" w:cs="MingLiU"/>
      <w:b/>
      <w:bCs/>
      <w:spacing w:val="0"/>
      <w:sz w:val="20"/>
      <w:szCs w:val="20"/>
      <w:u w:val="none"/>
    </w:rPr>
  </w:style>
  <w:style w:type="paragraph" w:customStyle="1" w:styleId="31">
    <w:name w:val="！正文（四号字）"/>
    <w:qFormat/>
    <w:uiPriority w:val="0"/>
    <w:pPr>
      <w:snapToGrid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customStyle="1" w:styleId="32">
    <w:name w:val="表格标题"/>
    <w:basedOn w:val="1"/>
    <w:qFormat/>
    <w:uiPriority w:val="99"/>
    <w:pPr>
      <w:shd w:val="clear" w:color="auto" w:fill="FFFFFF"/>
      <w:spacing w:line="322" w:lineRule="exact"/>
      <w:jc w:val="distribute"/>
    </w:pPr>
    <w:rPr>
      <w:rFonts w:ascii="MingLiU" w:eastAsia="MingLiU"/>
      <w:sz w:val="20"/>
      <w:szCs w:val="20"/>
    </w:rPr>
  </w:style>
  <w:style w:type="paragraph" w:customStyle="1" w:styleId="3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rPr>
  </w:style>
  <w:style w:type="character" w:customStyle="1" w:styleId="34">
    <w:name w:val="页眉 Char"/>
    <w:basedOn w:val="20"/>
    <w:link w:val="14"/>
    <w:qFormat/>
    <w:uiPriority w:val="0"/>
    <w:rPr>
      <w:rFonts w:ascii="Calibri" w:hAnsi="Calibri" w:eastAsia="宋体" w:cs="Times New Roman"/>
      <w:kern w:val="2"/>
      <w:sz w:val="18"/>
      <w:szCs w:val="18"/>
    </w:rPr>
  </w:style>
  <w:style w:type="character" w:customStyle="1" w:styleId="35">
    <w:name w:val="批注框文本 Char"/>
    <w:basedOn w:val="20"/>
    <w:link w:val="12"/>
    <w:qFormat/>
    <w:uiPriority w:val="0"/>
    <w:rPr>
      <w:rFonts w:ascii="Calibri" w:hAnsi="Calibri" w:eastAsia="宋体" w:cs="Times New Roman"/>
      <w:kern w:val="2"/>
      <w:sz w:val="18"/>
      <w:szCs w:val="18"/>
    </w:rPr>
  </w:style>
  <w:style w:type="character" w:customStyle="1" w:styleId="36">
    <w:name w:val="正文文本 Char"/>
    <w:basedOn w:val="20"/>
    <w:link w:val="7"/>
    <w:qFormat/>
    <w:uiPriority w:val="0"/>
    <w:rPr>
      <w:rFonts w:hint="default" w:ascii="Calibri" w:hAnsi="Calibri"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4529</Words>
  <Characters>25816</Characters>
  <Lines>215</Lines>
  <Paragraphs>60</Paragraphs>
  <TotalTime>25</TotalTime>
  <ScaleCrop>false</ScaleCrop>
  <LinksUpToDate>false</LinksUpToDate>
  <CharactersWithSpaces>30285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2023-10-09T08:02:00Z</dcterms:created>
  <dc:creator>HSW</dc:creator>
  <cp:lastModifiedBy>朱啟承</cp:lastModifiedBy>
  <cp:lastPrinted>2023-10-23T06:35:38Z</cp:lastPrinted>
  <dcterms:modified xsi:type="dcterms:W3CDTF">2023-10-23T07:14:26Z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06329E6DE25D440EBA747BA8B46FE3DD_11</vt:lpwstr>
  </property>
</Properties>
</file>