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color w:val="auto"/>
          <w:sz w:val="52"/>
          <w:szCs w:val="52"/>
          <w:highlight w:val="none"/>
        </w:rPr>
      </w:pPr>
    </w:p>
    <w:p>
      <w:pPr>
        <w:spacing w:line="360" w:lineRule="auto"/>
        <w:jc w:val="center"/>
        <w:rPr>
          <w:rFonts w:ascii="仿宋_GB2312" w:hAnsi="仿宋_GB2312" w:eastAsia="仿宋_GB2312" w:cs="仿宋_GB2312"/>
          <w:b/>
          <w:color w:val="auto"/>
          <w:sz w:val="52"/>
          <w:szCs w:val="52"/>
          <w:highlight w:val="none"/>
        </w:rPr>
      </w:pPr>
    </w:p>
    <w:p>
      <w:pPr>
        <w:spacing w:line="360" w:lineRule="auto"/>
        <w:jc w:val="center"/>
        <w:rPr>
          <w:rFonts w:ascii="仿宋_GB2312" w:hAnsi="仿宋_GB2312" w:eastAsia="仿宋_GB2312" w:cs="仿宋_GB2312"/>
          <w:b/>
          <w:color w:val="auto"/>
          <w:sz w:val="52"/>
          <w:szCs w:val="52"/>
          <w:highlight w:val="none"/>
        </w:rPr>
      </w:pPr>
    </w:p>
    <w:p>
      <w:pPr>
        <w:spacing w:line="360" w:lineRule="auto"/>
        <w:jc w:val="center"/>
        <w:rPr>
          <w:rFonts w:ascii="仿宋_GB2312" w:hAnsi="仿宋_GB2312" w:eastAsia="仿宋_GB2312" w:cs="仿宋_GB2312"/>
          <w:b/>
          <w:color w:val="auto"/>
          <w:sz w:val="52"/>
          <w:szCs w:val="52"/>
          <w:highlight w:val="none"/>
        </w:rPr>
      </w:pPr>
    </w:p>
    <w:p>
      <w:pPr>
        <w:spacing w:line="360" w:lineRule="auto"/>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肇庆港高要港区迳口通用码头工程项目用地报批服务</w:t>
      </w:r>
    </w:p>
    <w:p>
      <w:pPr>
        <w:spacing w:line="360" w:lineRule="auto"/>
        <w:ind w:firstLine="120" w:firstLineChars="50"/>
        <w:jc w:val="center"/>
        <w:rPr>
          <w:rFonts w:ascii="仿宋_GB2312" w:hAnsi="仿宋_GB2312" w:eastAsia="仿宋_GB2312" w:cs="仿宋_GB2312"/>
          <w:b/>
          <w:color w:val="auto"/>
          <w:sz w:val="24"/>
          <w:highlight w:val="none"/>
        </w:rPr>
      </w:pPr>
    </w:p>
    <w:p>
      <w:pPr>
        <w:spacing w:line="360" w:lineRule="auto"/>
        <w:ind w:firstLine="240" w:firstLineChars="50"/>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自主招标文件</w:t>
      </w: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360" w:lineRule="auto"/>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招标人：肇庆交投孔湾港务有限公司</w:t>
      </w:r>
    </w:p>
    <w:p>
      <w:pPr>
        <w:spacing w:line="360" w:lineRule="auto"/>
        <w:ind w:firstLine="846" w:firstLineChars="235"/>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 </w:t>
      </w:r>
    </w:p>
    <w:p>
      <w:pPr>
        <w:jc w:val="center"/>
        <w:rPr>
          <w:rFonts w:ascii="仿宋_GB2312" w:hAnsi="仿宋_GB2312" w:eastAsia="仿宋_GB2312" w:cs="仿宋_GB2312"/>
          <w:b/>
          <w:bCs/>
          <w:color w:val="auto"/>
          <w:sz w:val="36"/>
          <w:szCs w:val="44"/>
          <w:highlight w:val="none"/>
        </w:rPr>
        <w:sectPr>
          <w:pgSz w:w="11906" w:h="16838"/>
          <w:pgMar w:top="1440" w:right="1800" w:bottom="1440" w:left="1800" w:header="851" w:footer="992" w:gutter="0"/>
          <w:cols w:space="720" w:num="1"/>
          <w:docGrid w:type="linesAndChars" w:linePitch="312" w:charSpace="0"/>
        </w:sectPr>
      </w:pPr>
      <w:r>
        <w:rPr>
          <w:rFonts w:hint="eastAsia" w:ascii="仿宋_GB2312" w:hAnsi="仿宋_GB2312" w:eastAsia="仿宋_GB2312" w:cs="仿宋_GB2312"/>
          <w:b/>
          <w:bCs/>
          <w:color w:val="auto"/>
          <w:sz w:val="36"/>
          <w:szCs w:val="44"/>
          <w:highlight w:val="none"/>
        </w:rPr>
        <w:t>2023年</w:t>
      </w:r>
      <w:r>
        <w:rPr>
          <w:rFonts w:hint="eastAsia" w:ascii="仿宋_GB2312" w:hAnsi="仿宋_GB2312" w:eastAsia="仿宋_GB2312" w:cs="仿宋_GB2312"/>
          <w:b/>
          <w:bCs/>
          <w:color w:val="auto"/>
          <w:sz w:val="36"/>
          <w:szCs w:val="44"/>
          <w:highlight w:val="none"/>
          <w:lang w:val="en-US" w:eastAsia="zh-CN"/>
        </w:rPr>
        <w:t>10</w:t>
      </w:r>
      <w:r>
        <w:rPr>
          <w:rFonts w:hint="eastAsia" w:ascii="仿宋_GB2312" w:hAnsi="仿宋_GB2312" w:eastAsia="仿宋_GB2312" w:cs="仿宋_GB2312"/>
          <w:b/>
          <w:bCs/>
          <w:color w:val="auto"/>
          <w:sz w:val="36"/>
          <w:szCs w:val="44"/>
          <w:highlight w:val="none"/>
        </w:rPr>
        <w:t>月</w:t>
      </w:r>
    </w:p>
    <w:p>
      <w:pPr>
        <w:pStyle w:val="22"/>
        <w:jc w:val="center"/>
        <w:rPr>
          <w:rFonts w:ascii="仿宋_GB2312" w:hAnsi="仿宋_GB2312" w:eastAsia="仿宋_GB2312" w:cs="仿宋_GB2312"/>
          <w:color w:val="auto"/>
          <w:sz w:val="44"/>
          <w:szCs w:val="44"/>
          <w:highlight w:val="none"/>
          <w:lang w:val="zh-CN"/>
        </w:rPr>
      </w:pPr>
      <w:r>
        <w:rPr>
          <w:rFonts w:hint="eastAsia" w:ascii="仿宋_GB2312" w:hAnsi="仿宋_GB2312" w:eastAsia="仿宋_GB2312" w:cs="仿宋_GB2312"/>
          <w:color w:val="auto"/>
          <w:sz w:val="44"/>
          <w:szCs w:val="44"/>
          <w:highlight w:val="none"/>
          <w:lang w:val="zh-CN"/>
        </w:rPr>
        <w:t>目  录</w:t>
      </w:r>
    </w:p>
    <w:p>
      <w:pPr>
        <w:pStyle w:val="11"/>
        <w:tabs>
          <w:tab w:val="right" w:leader="dot" w:pos="8306"/>
        </w:tabs>
        <w:spacing w:line="360" w:lineRule="auto"/>
        <w:rPr>
          <w:color w:val="auto"/>
          <w:sz w:val="28"/>
          <w:szCs w:val="28"/>
          <w:highlight w:val="none"/>
        </w:rPr>
      </w:pPr>
    </w:p>
    <w:p>
      <w:pPr>
        <w:pStyle w:val="11"/>
        <w:tabs>
          <w:tab w:val="right" w:leader="dot" w:pos="8306"/>
        </w:tabs>
        <w:spacing w:line="360" w:lineRule="auto"/>
        <w:rPr>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"_Toc21536" </w:instrText>
      </w:r>
      <w:r>
        <w:rPr>
          <w:color w:val="auto"/>
          <w:highlight w:val="none"/>
        </w:rPr>
        <w:fldChar w:fldCharType="separate"/>
      </w:r>
      <w:r>
        <w:rPr>
          <w:rFonts w:hint="eastAsia" w:ascii="仿宋" w:hAnsi="仿宋" w:eastAsia="仿宋" w:cs="仿宋"/>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_Toc21536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1"/>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"_Toc17166"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_Toc17166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1"/>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"_Toc30334" </w:instrText>
      </w:r>
      <w:r>
        <w:rPr>
          <w:color w:val="auto"/>
          <w:highlight w:val="none"/>
        </w:rPr>
        <w:fldChar w:fldCharType="separate"/>
      </w:r>
      <w:r>
        <w:rPr>
          <w:rFonts w:hint="eastAsia" w:ascii="仿宋_GB2312" w:hAnsi="仿宋_GB2312" w:eastAsia="仿宋_GB2312" w:cs="仿宋_GB2312"/>
          <w:color w:val="auto"/>
          <w:sz w:val="28"/>
          <w:szCs w:val="28"/>
          <w:highlight w:val="none"/>
        </w:rPr>
        <w:t>第三章 招标人需求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_Toc30334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pPr>
        <w:pStyle w:val="11"/>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"_Toc31475" </w:instrText>
      </w:r>
      <w:r>
        <w:rPr>
          <w:color w:val="auto"/>
          <w:highlight w:val="none"/>
        </w:rPr>
        <w:fldChar w:fldCharType="separate"/>
      </w:r>
      <w:r>
        <w:rPr>
          <w:rFonts w:hint="eastAsia" w:ascii="仿宋_GB2312" w:hAnsi="仿宋_GB2312" w:eastAsia="仿宋_GB2312" w:cs="仿宋_GB2312"/>
          <w:color w:val="auto"/>
          <w:sz w:val="28"/>
          <w:szCs w:val="28"/>
          <w:highlight w:val="none"/>
        </w:rPr>
        <w:t>第四章 评审方法（综合评分法）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_Toc31475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1"/>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"_Toc18374" </w:instrText>
      </w:r>
      <w:r>
        <w:rPr>
          <w:color w:val="auto"/>
          <w:highlight w:val="none"/>
        </w:rPr>
        <w:fldChar w:fldCharType="separate"/>
      </w:r>
      <w:r>
        <w:rPr>
          <w:rFonts w:hint="eastAsia" w:ascii="仿宋_GB2312" w:hAnsi="仿宋_GB2312" w:eastAsia="仿宋_GB2312" w:cs="仿宋_GB2312"/>
          <w:color w:val="auto"/>
          <w:sz w:val="28"/>
          <w:szCs w:val="28"/>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_Toc18374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11"/>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"_Toc23563" </w:instrText>
      </w:r>
      <w:r>
        <w:rPr>
          <w:color w:val="auto"/>
          <w:highlight w:val="none"/>
        </w:rPr>
        <w:fldChar w:fldCharType="separate"/>
      </w:r>
      <w:r>
        <w:rPr>
          <w:rFonts w:hint="eastAsia" w:ascii="仿宋_GB2312" w:hAnsi="仿宋_GB2312" w:eastAsia="仿宋_GB2312" w:cs="仿宋_GB2312"/>
          <w:color w:val="auto"/>
          <w:sz w:val="28"/>
          <w:szCs w:val="28"/>
          <w:highlight w:val="none"/>
        </w:rPr>
        <w:t>第六章 投标文件内容及格式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_Toc23563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pPr>
        <w:spacing w:line="360" w:lineRule="auto"/>
        <w:rPr>
          <w:color w:val="auto"/>
          <w:highlight w:val="none"/>
        </w:rPr>
      </w:pPr>
      <w:r>
        <w:rPr>
          <w:bCs/>
          <w:color w:val="auto"/>
          <w:sz w:val="28"/>
          <w:szCs w:val="28"/>
          <w:highlight w:val="none"/>
        </w:rPr>
        <w:fldChar w:fldCharType="end"/>
      </w:r>
    </w:p>
    <w:p>
      <w:pPr>
        <w:pStyle w:val="2"/>
        <w:adjustRightInd w:val="0"/>
        <w:snapToGrid w:val="0"/>
        <w:spacing w:before="0" w:after="0" w:line="360" w:lineRule="auto"/>
        <w:jc w:val="center"/>
        <w:rPr>
          <w:rFonts w:ascii="仿宋_GB2312" w:hAnsi="仿宋_GB2312" w:eastAsia="仿宋_GB2312" w:cs="仿宋_GB2312"/>
          <w:color w:val="auto"/>
          <w:highlight w:val="none"/>
        </w:rPr>
        <w:sectPr>
          <w:pgSz w:w="11906" w:h="16838"/>
          <w:pgMar w:top="1440" w:right="1800" w:bottom="1440" w:left="1800" w:header="851" w:footer="992" w:gutter="0"/>
          <w:cols w:space="720" w:num="1"/>
          <w:docGrid w:type="lines" w:linePitch="312" w:charSpace="0"/>
        </w:sectPr>
      </w:pPr>
      <w:bookmarkStart w:id="0" w:name="_Toc17034"/>
      <w:bookmarkStart w:id="1" w:name="_Toc30996_WPSOffice_Level1"/>
    </w:p>
    <w:p>
      <w:pPr>
        <w:pStyle w:val="2"/>
        <w:adjustRightInd w:val="0"/>
        <w:snapToGrid w:val="0"/>
        <w:spacing w:before="0" w:after="0" w:line="360" w:lineRule="auto"/>
        <w:ind w:firstLine="602" w:firstLineChars="200"/>
        <w:jc w:val="center"/>
        <w:rPr>
          <w:rFonts w:ascii="仿宋" w:hAnsi="仿宋" w:eastAsia="仿宋" w:cs="仿宋"/>
          <w:color w:val="auto"/>
          <w:sz w:val="30"/>
          <w:szCs w:val="30"/>
          <w:highlight w:val="none"/>
        </w:rPr>
      </w:pPr>
      <w:bookmarkStart w:id="2" w:name="_Toc21536"/>
      <w:r>
        <w:rPr>
          <w:rFonts w:hint="eastAsia" w:ascii="仿宋" w:hAnsi="仿宋" w:eastAsia="仿宋" w:cs="仿宋"/>
          <w:color w:val="auto"/>
          <w:sz w:val="30"/>
          <w:szCs w:val="30"/>
          <w:highlight w:val="none"/>
        </w:rPr>
        <w:t xml:space="preserve">第一章 </w:t>
      </w:r>
      <w:bookmarkEnd w:id="0"/>
      <w:bookmarkEnd w:id="1"/>
      <w:r>
        <w:rPr>
          <w:rFonts w:hint="eastAsia" w:ascii="仿宋" w:hAnsi="仿宋" w:eastAsia="仿宋" w:cs="仿宋"/>
          <w:color w:val="auto"/>
          <w:sz w:val="30"/>
          <w:szCs w:val="30"/>
          <w:highlight w:val="none"/>
        </w:rPr>
        <w:t>招标公告</w:t>
      </w:r>
      <w:bookmarkEnd w:id="2"/>
    </w:p>
    <w:p>
      <w:pPr>
        <w:adjustRightInd w:val="0"/>
        <w:snapToGrid w:val="0"/>
        <w:spacing w:line="360" w:lineRule="auto"/>
        <w:ind w:firstLine="420" w:firstLineChars="200"/>
        <w:jc w:val="center"/>
        <w:rPr>
          <w:rFonts w:ascii="仿宋" w:hAnsi="仿宋" w:eastAsia="仿宋" w:cs="仿宋"/>
          <w:color w:val="auto"/>
          <w:szCs w:val="21"/>
          <w:highlight w:val="none"/>
        </w:rPr>
      </w:pPr>
    </w:p>
    <w:p>
      <w:pPr>
        <w:adjustRightInd w:val="0"/>
        <w:snapToGrid w:val="0"/>
        <w:spacing w:line="360" w:lineRule="auto"/>
        <w:ind w:firstLine="422" w:firstLineChars="200"/>
        <w:rPr>
          <w:rFonts w:ascii="仿宋" w:hAnsi="仿宋" w:eastAsia="仿宋" w:cs="仿宋"/>
          <w:b/>
          <w:bCs/>
          <w:color w:val="auto"/>
          <w:szCs w:val="21"/>
          <w:highlight w:val="none"/>
        </w:rPr>
      </w:pP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招标条件和招标方式</w:t>
      </w:r>
    </w:p>
    <w:p>
      <w:pPr>
        <w:numPr>
          <w:ilvl w:val="1"/>
          <w:numId w:val="1"/>
        </w:num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招标条件</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u w:val="single"/>
        </w:rPr>
        <w:t>肇庆港高要港区迳口通用码头工程项目用地报批服务</w:t>
      </w:r>
      <w:r>
        <w:rPr>
          <w:rFonts w:hint="eastAsia" w:ascii="仿宋" w:hAnsi="仿宋" w:eastAsia="仿宋" w:cs="仿宋"/>
          <w:color w:val="auto"/>
          <w:szCs w:val="21"/>
          <w:highlight w:val="none"/>
        </w:rPr>
        <w:t>已具备招标条件，经</w:t>
      </w:r>
      <w:r>
        <w:rPr>
          <w:rFonts w:hint="eastAsia" w:ascii="仿宋" w:hAnsi="仿宋" w:eastAsia="仿宋" w:cs="仿宋"/>
          <w:color w:val="auto"/>
          <w:szCs w:val="21"/>
          <w:highlight w:val="none"/>
          <w:u w:val="single"/>
        </w:rPr>
        <w:t>肇庆交投孔湾港务有限公司</w:t>
      </w:r>
      <w:r>
        <w:rPr>
          <w:rFonts w:hint="eastAsia" w:ascii="仿宋" w:hAnsi="仿宋" w:eastAsia="仿宋" w:cs="仿宋"/>
          <w:color w:val="auto"/>
          <w:szCs w:val="21"/>
          <w:highlight w:val="none"/>
        </w:rPr>
        <w:t>批准，现对该项目采用资格后审方式实施招标活动，现邀请合格的潜在投标人参加本项目投标。</w:t>
      </w:r>
    </w:p>
    <w:p>
      <w:pPr>
        <w:adjustRightInd w:val="0"/>
        <w:snapToGrid w:val="0"/>
        <w:spacing w:line="360" w:lineRule="auto"/>
        <w:ind w:firstLine="420" w:firstLineChars="200"/>
        <w:rPr>
          <w:rFonts w:hint="default" w:eastAsia="仿宋"/>
          <w:color w:val="auto"/>
          <w:highlight w:val="none"/>
          <w:lang w:val="en-US" w:eastAsia="zh-CN"/>
        </w:rPr>
      </w:pPr>
      <w:r>
        <w:rPr>
          <w:rFonts w:hint="eastAsia" w:ascii="仿宋" w:hAnsi="仿宋" w:eastAsia="仿宋" w:cs="仿宋"/>
          <w:color w:val="auto"/>
          <w:szCs w:val="21"/>
          <w:highlight w:val="none"/>
        </w:rPr>
        <w:t>1.2 项目编号：ZQJTJT（202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114</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 招标方式：自主招标</w:t>
      </w:r>
      <w:bookmarkStart w:id="25" w:name="_GoBack"/>
      <w:bookmarkEnd w:id="25"/>
    </w:p>
    <w:p>
      <w:pPr>
        <w:pStyle w:val="20"/>
        <w:ind w:firstLine="460" w:firstLineChars="200"/>
        <w:rPr>
          <w:color w:val="auto"/>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招标项目类型：</w:t>
      </w:r>
      <w:r>
        <w:rPr>
          <w:rFonts w:hint="eastAsia" w:ascii="仿宋" w:hAnsi="仿宋" w:eastAsia="仿宋" w:cs="仿宋"/>
          <w:color w:val="auto"/>
          <w:kern w:val="2"/>
          <w:sz w:val="21"/>
          <w:szCs w:val="21"/>
          <w:highlight w:val="none"/>
        </w:rPr>
        <w:sym w:font="Wingdings 2" w:char="00A3"/>
      </w:r>
      <w:r>
        <w:rPr>
          <w:rFonts w:hint="eastAsia" w:ascii="仿宋" w:hAnsi="仿宋" w:eastAsia="仿宋" w:cs="仿宋"/>
          <w:color w:val="auto"/>
          <w:kern w:val="2"/>
          <w:sz w:val="21"/>
          <w:szCs w:val="21"/>
          <w:highlight w:val="none"/>
        </w:rPr>
        <w:t xml:space="preserve">工程  </w:t>
      </w:r>
      <w:r>
        <w:rPr>
          <w:rFonts w:hint="eastAsia" w:ascii="仿宋" w:hAnsi="仿宋" w:eastAsia="仿宋" w:cs="仿宋"/>
          <w:color w:val="auto"/>
          <w:kern w:val="2"/>
          <w:sz w:val="21"/>
          <w:szCs w:val="21"/>
          <w:highlight w:val="none"/>
        </w:rPr>
        <w:sym w:font="Wingdings 2" w:char="00A3"/>
      </w:r>
      <w:r>
        <w:rPr>
          <w:rFonts w:hint="eastAsia" w:ascii="仿宋" w:hAnsi="仿宋" w:eastAsia="仿宋" w:cs="仿宋"/>
          <w:color w:val="auto"/>
          <w:kern w:val="2"/>
          <w:sz w:val="21"/>
          <w:szCs w:val="21"/>
          <w:highlight w:val="none"/>
        </w:rPr>
        <w:t xml:space="preserve">货物  </w:t>
      </w:r>
      <w:r>
        <w:rPr>
          <w:rFonts w:hint="eastAsia" w:ascii="仿宋" w:hAnsi="仿宋" w:eastAsia="仿宋" w:cs="仿宋"/>
          <w:color w:val="auto"/>
          <w:kern w:val="2"/>
          <w:sz w:val="21"/>
          <w:szCs w:val="21"/>
          <w:highlight w:val="none"/>
        </w:rPr>
        <w:sym w:font="Wingdings 2" w:char="0052"/>
      </w:r>
      <w:r>
        <w:rPr>
          <w:rFonts w:hint="eastAsia" w:ascii="仿宋" w:hAnsi="仿宋" w:eastAsia="仿宋" w:cs="仿宋"/>
          <w:color w:val="auto"/>
          <w:kern w:val="2"/>
          <w:sz w:val="21"/>
          <w:szCs w:val="21"/>
          <w:highlight w:val="none"/>
        </w:rPr>
        <w:t>服务</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招标内容和范围</w:t>
      </w:r>
    </w:p>
    <w:p>
      <w:pPr>
        <w:numPr>
          <w:ilvl w:val="1"/>
          <w:numId w:val="1"/>
        </w:numPr>
        <w:adjustRightInd w:val="0"/>
        <w:snapToGrid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本项目招标内容和范围：</w:t>
      </w:r>
      <w:r>
        <w:rPr>
          <w:rFonts w:hint="eastAsia" w:ascii="仿宋" w:hAnsi="仿宋" w:eastAsia="仿宋" w:cs="仿宋"/>
          <w:color w:val="auto"/>
          <w:szCs w:val="21"/>
          <w:highlight w:val="none"/>
          <w:u w:val="single"/>
        </w:rPr>
        <w:t>肇庆港高要港区迳口通用码头工程用地报批提供相关技术服务。具体工作内容包括：1、用地报批技术服务。2、占用耕地耕作层土壤剥离再利用方案编制技术服务。3、土地勘测定界技术报告编制技术服务。</w:t>
      </w:r>
    </w:p>
    <w:p>
      <w:pPr>
        <w:numPr>
          <w:ilvl w:val="1"/>
          <w:numId w:val="1"/>
        </w:num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计划工期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交货期  </w:t>
      </w: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服务期为：</w:t>
      </w:r>
      <w:r>
        <w:rPr>
          <w:rFonts w:hint="eastAsia" w:ascii="仿宋" w:hAnsi="仿宋" w:eastAsia="仿宋" w:cs="仿宋"/>
          <w:color w:val="auto"/>
          <w:szCs w:val="21"/>
          <w:highlight w:val="none"/>
          <w:u w:val="single"/>
        </w:rPr>
        <w:t>合同签订后，30个日历日内完成成果文件报批稿，60个日历日内提交建设用地报批材料上</w:t>
      </w:r>
      <w:r>
        <w:rPr>
          <w:rFonts w:ascii="仿宋" w:hAnsi="仿宋" w:eastAsia="仿宋" w:cs="仿宋"/>
          <w:color w:val="auto"/>
          <w:szCs w:val="21"/>
          <w:highlight w:val="none"/>
          <w:u w:val="single"/>
        </w:rPr>
        <w:t>报自然</w:t>
      </w:r>
      <w:r>
        <w:rPr>
          <w:rFonts w:hint="eastAsia" w:ascii="仿宋" w:hAnsi="仿宋" w:eastAsia="仿宋" w:cs="仿宋"/>
          <w:color w:val="auto"/>
          <w:szCs w:val="21"/>
          <w:highlight w:val="none"/>
          <w:u w:val="single"/>
        </w:rPr>
        <w:t>资源局，120个日历日内完成服务成果报告，并通过主管部门批复，取得建设用地批</w:t>
      </w:r>
      <w:r>
        <w:rPr>
          <w:rFonts w:ascii="仿宋" w:hAnsi="仿宋" w:eastAsia="仿宋" w:cs="仿宋"/>
          <w:color w:val="auto"/>
          <w:szCs w:val="21"/>
          <w:highlight w:val="none"/>
          <w:u w:val="single"/>
        </w:rPr>
        <w:t>复</w:t>
      </w:r>
      <w:r>
        <w:rPr>
          <w:rFonts w:hint="eastAsia" w:ascii="仿宋" w:hAnsi="仿宋" w:eastAsia="仿宋" w:cs="仿宋"/>
          <w:color w:val="auto"/>
          <w:szCs w:val="21"/>
          <w:highlight w:val="none"/>
          <w:u w:val="single"/>
        </w:rPr>
        <w:t>。</w:t>
      </w:r>
    </w:p>
    <w:p>
      <w:pPr>
        <w:numPr>
          <w:ilvl w:val="1"/>
          <w:numId w:val="1"/>
        </w:num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建设地点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交货地点 </w:t>
      </w: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服务地点位于：</w:t>
      </w:r>
      <w:r>
        <w:rPr>
          <w:rFonts w:hint="eastAsia" w:ascii="仿宋" w:hAnsi="仿宋" w:eastAsia="仿宋" w:cs="仿宋"/>
          <w:color w:val="auto"/>
          <w:szCs w:val="21"/>
          <w:highlight w:val="none"/>
          <w:u w:val="single"/>
        </w:rPr>
        <w:t>肇庆港高要港区迳口通用码头区域，具体以招标人指定地点为准</w:t>
      </w:r>
      <w:r>
        <w:rPr>
          <w:rFonts w:hint="eastAsia" w:ascii="仿宋" w:hAnsi="仿宋" w:eastAsia="仿宋" w:cs="仿宋"/>
          <w:color w:val="auto"/>
          <w:szCs w:val="21"/>
          <w:highlight w:val="none"/>
        </w:rPr>
        <w:t>。</w:t>
      </w:r>
    </w:p>
    <w:p>
      <w:pPr>
        <w:pStyle w:val="13"/>
        <w:numPr>
          <w:ilvl w:val="1"/>
          <w:numId w:val="1"/>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施工质量和安全要求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货物质量标准和主要性能指标  </w:t>
      </w: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服务质量要求和服务标准如下：</w:t>
      </w:r>
      <w:r>
        <w:rPr>
          <w:rFonts w:hint="eastAsia" w:ascii="仿宋" w:hAnsi="仿宋" w:eastAsia="仿宋" w:cs="仿宋"/>
          <w:color w:val="auto"/>
          <w:szCs w:val="21"/>
          <w:highlight w:val="none"/>
          <w:u w:val="single"/>
        </w:rPr>
        <w:t>满足并符合现行的国家以及行业技术规范、规程、标准要求，相关成果资料经甲方确认并符合</w:t>
      </w:r>
      <w:r>
        <w:rPr>
          <w:rFonts w:ascii="仿宋" w:hAnsi="仿宋" w:eastAsia="仿宋" w:cs="仿宋"/>
          <w:color w:val="auto"/>
          <w:szCs w:val="21"/>
          <w:highlight w:val="none"/>
          <w:u w:val="single"/>
        </w:rPr>
        <w:t>自然资源</w:t>
      </w:r>
      <w:r>
        <w:rPr>
          <w:rFonts w:hint="eastAsia" w:ascii="仿宋" w:hAnsi="仿宋" w:eastAsia="仿宋" w:cs="仿宋"/>
          <w:color w:val="auto"/>
          <w:szCs w:val="21"/>
          <w:highlight w:val="none"/>
          <w:u w:val="single"/>
        </w:rPr>
        <w:t>主管部门的要求，</w:t>
      </w:r>
      <w:r>
        <w:rPr>
          <w:rFonts w:ascii="仿宋" w:hAnsi="仿宋" w:eastAsia="仿宋" w:cs="仿宋"/>
          <w:color w:val="auto"/>
          <w:szCs w:val="21"/>
          <w:highlight w:val="none"/>
          <w:u w:val="single"/>
        </w:rPr>
        <w:t>取得建设用地</w:t>
      </w:r>
      <w:r>
        <w:rPr>
          <w:rFonts w:hint="eastAsia" w:ascii="仿宋" w:hAnsi="仿宋" w:eastAsia="仿宋" w:cs="仿宋"/>
          <w:color w:val="auto"/>
          <w:szCs w:val="21"/>
          <w:highlight w:val="none"/>
          <w:u w:val="single"/>
        </w:rPr>
        <w:t>批复</w:t>
      </w:r>
      <w:r>
        <w:rPr>
          <w:rFonts w:hint="eastAsia" w:ascii="仿宋" w:hAnsi="仿宋" w:eastAsia="仿宋" w:cs="仿宋"/>
          <w:color w:val="auto"/>
          <w:szCs w:val="21"/>
          <w:highlight w:val="none"/>
        </w:rPr>
        <w:t>。</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2.5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标段划分</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 标段划分及最高限价：本项目共1个标段，具体如下</w:t>
      </w:r>
    </w:p>
    <w:tbl>
      <w:tblPr>
        <w:tblStyle w:val="14"/>
        <w:tblW w:w="803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63"/>
        <w:gridCol w:w="4560"/>
        <w:gridCol w:w="2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2" w:hRule="atLeast"/>
          <w:tblCellSpacing w:w="0" w:type="dxa"/>
          <w:jc w:val="center"/>
        </w:trPr>
        <w:tc>
          <w:tcPr>
            <w:tcW w:w="1163" w:type="dxa"/>
            <w:shd w:val="clear" w:color="auto" w:fill="FFFFFF"/>
            <w:noWrap/>
            <w:vAlign w:val="center"/>
          </w:tcPr>
          <w:p>
            <w:pPr>
              <w:spacing w:line="360" w:lineRule="auto"/>
              <w:jc w:val="center"/>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标段号</w:t>
            </w:r>
          </w:p>
        </w:tc>
        <w:tc>
          <w:tcPr>
            <w:tcW w:w="4560" w:type="dxa"/>
            <w:shd w:val="clear" w:color="auto" w:fill="FFFFFF"/>
            <w:noWrap/>
            <w:vAlign w:val="center"/>
          </w:tcPr>
          <w:p>
            <w:pPr>
              <w:spacing w:line="360" w:lineRule="auto"/>
              <w:jc w:val="center"/>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标段名称</w:t>
            </w:r>
          </w:p>
        </w:tc>
        <w:tc>
          <w:tcPr>
            <w:tcW w:w="2310" w:type="dxa"/>
            <w:shd w:val="clear" w:color="auto" w:fill="FFFFFF"/>
            <w:noWrap/>
            <w:vAlign w:val="center"/>
          </w:tcPr>
          <w:p>
            <w:pPr>
              <w:spacing w:line="360" w:lineRule="auto"/>
              <w:jc w:val="center"/>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标段最高限价</w:t>
            </w:r>
          </w:p>
          <w:p>
            <w:pPr>
              <w:spacing w:line="360" w:lineRule="auto"/>
              <w:jc w:val="center"/>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（人民币元）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5" w:hRule="atLeast"/>
          <w:tblCellSpacing w:w="0" w:type="dxa"/>
          <w:jc w:val="center"/>
        </w:trPr>
        <w:tc>
          <w:tcPr>
            <w:tcW w:w="1163" w:type="dxa"/>
            <w:shd w:val="clear" w:color="auto" w:fill="FFFFFF"/>
            <w:noWrap/>
            <w:vAlign w:val="center"/>
          </w:tcPr>
          <w:p>
            <w:pPr>
              <w:spacing w:line="360" w:lineRule="auto"/>
              <w:jc w:val="center"/>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w:t>
            </w:r>
          </w:p>
        </w:tc>
        <w:tc>
          <w:tcPr>
            <w:tcW w:w="4560" w:type="dxa"/>
            <w:shd w:val="clear" w:color="auto" w:fill="FFFFFF"/>
            <w:noWrap/>
            <w:vAlign w:val="center"/>
          </w:tcPr>
          <w:p>
            <w:pPr>
              <w:spacing w:line="360" w:lineRule="auto"/>
              <w:rPr>
                <w:rFonts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肇庆港高要港区迳口通用码头工程项目用地报批服务</w:t>
            </w:r>
          </w:p>
        </w:tc>
        <w:tc>
          <w:tcPr>
            <w:tcW w:w="2310" w:type="dxa"/>
            <w:shd w:val="clear" w:color="auto" w:fill="FFFFFF"/>
            <w:noWrap/>
            <w:vAlign w:val="center"/>
          </w:tcPr>
          <w:p>
            <w:pPr>
              <w:spacing w:line="360" w:lineRule="auto"/>
              <w:jc w:val="center"/>
              <w:rPr>
                <w:rFonts w:ascii="仿宋" w:hAnsi="仿宋" w:eastAsia="仿宋" w:cs="仿宋"/>
                <w:color w:val="auto"/>
                <w:kern w:val="0"/>
                <w:szCs w:val="21"/>
                <w:highlight w:val="none"/>
                <w:shd w:val="clear" w:color="auto" w:fill="FFFFFF"/>
              </w:rPr>
            </w:pPr>
            <w:r>
              <w:rPr>
                <w:rFonts w:ascii="仿宋" w:hAnsi="仿宋" w:eastAsia="仿宋" w:cs="仿宋"/>
                <w:color w:val="auto"/>
                <w:kern w:val="0"/>
                <w:szCs w:val="21"/>
                <w:highlight w:val="none"/>
                <w:shd w:val="clear" w:color="auto" w:fill="FFFFFF"/>
              </w:rPr>
              <w:t>300000</w:t>
            </w:r>
          </w:p>
        </w:tc>
      </w:tr>
    </w:tbl>
    <w:p>
      <w:pPr>
        <w:rPr>
          <w:color w:val="auto"/>
          <w:highlight w:val="none"/>
        </w:rPr>
      </w:pPr>
      <w:r>
        <w:rPr>
          <w:rFonts w:hint="eastAsia"/>
          <w:color w:val="auto"/>
          <w:highlight w:val="none"/>
        </w:rPr>
        <w:t xml:space="preserve">    </w:t>
      </w:r>
    </w:p>
    <w:p>
      <w:pPr>
        <w:ind w:firstLine="210" w:firstLineChars="100"/>
        <w:rPr>
          <w:color w:val="auto"/>
          <w:highlight w:val="none"/>
        </w:rPr>
      </w:pPr>
      <w:r>
        <w:rPr>
          <w:rFonts w:hint="eastAsia" w:ascii="仿宋" w:hAnsi="仿宋" w:eastAsia="仿宋" w:cs="仿宋"/>
          <w:color w:val="auto"/>
          <w:kern w:val="0"/>
          <w:szCs w:val="21"/>
          <w:highlight w:val="none"/>
          <w:shd w:val="clear" w:color="auto" w:fill="FFFFFF"/>
        </w:rPr>
        <w:t>（注：本项目共1个标段，投标人需对本项目整体进行投标报价响应。）</w:t>
      </w:r>
    </w:p>
    <w:p>
      <w:pPr>
        <w:numPr>
          <w:ilvl w:val="0"/>
          <w:numId w:val="1"/>
        </w:numPr>
        <w:adjustRightInd w:val="0"/>
        <w:snapToGrid w:val="0"/>
        <w:spacing w:line="360" w:lineRule="auto"/>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投标人的资格要求</w:t>
      </w:r>
      <w:r>
        <w:rPr>
          <w:rFonts w:hint="eastAsia" w:ascii="仿宋" w:hAnsi="仿宋" w:eastAsia="仿宋" w:cs="仿宋"/>
          <w:color w:val="auto"/>
          <w:szCs w:val="21"/>
          <w:highlight w:val="none"/>
        </w:rPr>
        <w:t>：</w:t>
      </w:r>
    </w:p>
    <w:p>
      <w:pPr>
        <w:numPr>
          <w:ilvl w:val="1"/>
          <w:numId w:val="1"/>
        </w:numPr>
        <w:tabs>
          <w:tab w:val="left" w:pos="19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投标人资格要求：</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参加本项目的投标人应当是中华人民共和国境内的法人，同时还应具备如下条件：</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（5） 投标人应当具备:</w:t>
      </w:r>
    </w:p>
    <w:p>
      <w:pPr>
        <w:adjustRightInd w:val="0"/>
        <w:snapToGrid w:val="0"/>
        <w:spacing w:line="360" w:lineRule="auto"/>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lang w:val="en-US" w:eastAsia="zh-CN"/>
        </w:rPr>
        <w:t>测绘乙级和</w:t>
      </w:r>
      <w:r>
        <w:rPr>
          <w:rFonts w:ascii="仿宋" w:hAnsi="仿宋" w:eastAsia="仿宋" w:cs="仿宋"/>
          <w:color w:val="auto"/>
          <w:szCs w:val="21"/>
          <w:highlight w:val="none"/>
          <w:u w:val="single"/>
        </w:rPr>
        <w:t>土地规划</w:t>
      </w:r>
      <w:r>
        <w:rPr>
          <w:rFonts w:hint="eastAsia" w:ascii="仿宋" w:hAnsi="仿宋" w:eastAsia="仿宋" w:cs="仿宋"/>
          <w:color w:val="auto"/>
          <w:szCs w:val="21"/>
          <w:highlight w:val="none"/>
          <w:u w:val="single"/>
        </w:rPr>
        <w:t>乙级或以上资质</w:t>
      </w:r>
      <w:r>
        <w:rPr>
          <w:rFonts w:hint="eastAsia" w:ascii="仿宋" w:hAnsi="仿宋" w:eastAsia="仿宋" w:cs="仿宋"/>
          <w:color w:val="auto"/>
          <w:szCs w:val="21"/>
          <w:highlight w:val="none"/>
          <w:u w:val="single"/>
          <w:lang w:eastAsia="zh-CN"/>
        </w:rPr>
        <w:t>。</w:t>
      </w:r>
    </w:p>
    <w:p>
      <w:pPr>
        <w:pStyle w:val="13"/>
        <w:spacing w:line="360" w:lineRule="auto"/>
        <w:ind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（6） 投标人应当承接过类似项目的业绩要求：</w:t>
      </w:r>
    </w:p>
    <w:p>
      <w:pPr>
        <w:adjustRightInd w:val="0"/>
        <w:snapToGrid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①投标人自2018年1</w:t>
      </w:r>
      <w:r>
        <w:rPr>
          <w:rFonts w:hint="eastAsia" w:ascii="仿宋" w:hAnsi="仿宋" w:eastAsia="仿宋" w:cs="仿宋"/>
          <w:color w:val="auto"/>
          <w:szCs w:val="21"/>
          <w:highlight w:val="none"/>
          <w:u w:val="single"/>
          <w:lang w:val="en-US" w:eastAsia="zh-CN"/>
        </w:rPr>
        <w:t>0</w:t>
      </w:r>
      <w:r>
        <w:rPr>
          <w:rFonts w:hint="eastAsia" w:ascii="仿宋" w:hAnsi="仿宋" w:eastAsia="仿宋" w:cs="仿宋"/>
          <w:color w:val="auto"/>
          <w:szCs w:val="21"/>
          <w:highlight w:val="none"/>
          <w:u w:val="single"/>
        </w:rPr>
        <w:t>月1日</w:t>
      </w:r>
      <w:r>
        <w:rPr>
          <w:rFonts w:hint="eastAsia" w:ascii="仿宋" w:hAnsi="仿宋" w:eastAsia="仿宋" w:cs="仿宋"/>
          <w:color w:val="auto"/>
          <w:szCs w:val="21"/>
          <w:highlight w:val="none"/>
          <w:u w:val="single"/>
          <w:lang w:val="en-US" w:eastAsia="zh-CN"/>
        </w:rPr>
        <w:t>起</w:t>
      </w:r>
      <w:r>
        <w:rPr>
          <w:rFonts w:hint="eastAsia" w:ascii="仿宋" w:hAnsi="仿宋" w:eastAsia="仿宋" w:cs="仿宋"/>
          <w:color w:val="auto"/>
          <w:szCs w:val="21"/>
          <w:highlight w:val="none"/>
          <w:u w:val="single"/>
        </w:rPr>
        <w:t>完成1个合同金额为</w:t>
      </w:r>
      <w:r>
        <w:rPr>
          <w:rFonts w:ascii="仿宋" w:hAnsi="仿宋" w:eastAsia="仿宋" w:cs="仿宋"/>
          <w:color w:val="auto"/>
          <w:szCs w:val="21"/>
          <w:highlight w:val="none"/>
          <w:u w:val="single"/>
        </w:rPr>
        <w:t>3</w:t>
      </w:r>
      <w:r>
        <w:rPr>
          <w:rFonts w:hint="eastAsia" w:ascii="仿宋" w:hAnsi="仿宋" w:eastAsia="仿宋" w:cs="仿宋"/>
          <w:color w:val="auto"/>
          <w:szCs w:val="21"/>
          <w:highlight w:val="none"/>
          <w:u w:val="single"/>
        </w:rPr>
        <w:t>0万元</w:t>
      </w:r>
      <w:r>
        <w:rPr>
          <w:rFonts w:hint="eastAsia" w:ascii="仿宋" w:hAnsi="仿宋" w:eastAsia="仿宋" w:cs="仿宋"/>
          <w:color w:val="auto"/>
          <w:szCs w:val="21"/>
          <w:highlight w:val="none"/>
          <w:u w:val="single"/>
          <w:lang w:val="en-US" w:eastAsia="zh-CN"/>
        </w:rPr>
        <w:t>或以上</w:t>
      </w:r>
      <w:r>
        <w:rPr>
          <w:rFonts w:hint="eastAsia" w:ascii="仿宋" w:hAnsi="仿宋" w:eastAsia="仿宋" w:cs="仿宋"/>
          <w:color w:val="auto"/>
          <w:szCs w:val="21"/>
          <w:highlight w:val="none"/>
          <w:u w:val="single"/>
        </w:rPr>
        <w:t>的土地报批项目业绩（提供项目合同扫描件及报批批复资料，加盖投标人公章）。</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（7） 项目负责人应当具备</w:t>
      </w:r>
      <w:r>
        <w:rPr>
          <w:rFonts w:hint="eastAsia" w:ascii="仿宋" w:hAnsi="仿宋" w:eastAsia="仿宋" w:cs="仿宋"/>
          <w:color w:val="auto"/>
          <w:szCs w:val="21"/>
          <w:highlight w:val="none"/>
          <w:u w:val="single"/>
        </w:rPr>
        <w:t xml:space="preserve"> 国土相关专业中级工程师职称 </w:t>
      </w:r>
      <w:r>
        <w:rPr>
          <w:rFonts w:hint="eastAsia" w:ascii="仿宋" w:hAnsi="仿宋" w:eastAsia="仿宋" w:cs="仿宋"/>
          <w:color w:val="auto"/>
          <w:szCs w:val="21"/>
          <w:highlight w:val="none"/>
        </w:rPr>
        <w:t>资质条件（</w:t>
      </w:r>
      <w:r>
        <w:rPr>
          <w:rFonts w:hint="eastAsia" w:ascii="仿宋" w:hAnsi="仿宋" w:eastAsia="仿宋" w:cs="仿宋"/>
          <w:color w:val="auto"/>
          <w:szCs w:val="21"/>
          <w:highlight w:val="none"/>
          <w:u w:val="single"/>
        </w:rPr>
        <w:t>提供中级工程师职称证书；不含投标当月的近3个月在投标单位的社保证明资料</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rPr>
        <w:t>，同时还应当具有承接过类似项目的业绩要求：</w:t>
      </w:r>
      <w:r>
        <w:rPr>
          <w:rFonts w:hint="eastAsia" w:ascii="仿宋" w:hAnsi="仿宋" w:eastAsia="仿宋" w:cs="仿宋"/>
          <w:color w:val="auto"/>
          <w:szCs w:val="21"/>
          <w:highlight w:val="none"/>
          <w:u w:val="single"/>
        </w:rPr>
        <w:t xml:space="preserve"> ① 自2018年1</w:t>
      </w:r>
      <w:r>
        <w:rPr>
          <w:rFonts w:hint="eastAsia" w:ascii="仿宋" w:hAnsi="仿宋" w:eastAsia="仿宋" w:cs="仿宋"/>
          <w:color w:val="auto"/>
          <w:szCs w:val="21"/>
          <w:highlight w:val="none"/>
          <w:u w:val="single"/>
          <w:lang w:val="en-US" w:eastAsia="zh-CN"/>
        </w:rPr>
        <w:t>0</w:t>
      </w:r>
      <w:r>
        <w:rPr>
          <w:rFonts w:hint="eastAsia" w:ascii="仿宋" w:hAnsi="仿宋" w:eastAsia="仿宋" w:cs="仿宋"/>
          <w:color w:val="auto"/>
          <w:szCs w:val="21"/>
          <w:highlight w:val="none"/>
          <w:u w:val="single"/>
        </w:rPr>
        <w:t>月1日起完成1项土地报批项目服务业绩（需提供合同扫描件及报批批复资料，加盖投标人公章）</w:t>
      </w:r>
      <w:r>
        <w:rPr>
          <w:rFonts w:hint="eastAsia" w:ascii="仿宋" w:hAnsi="仿宋" w:eastAsia="仿宋" w:cs="仿宋"/>
          <w:color w:val="auto"/>
          <w:szCs w:val="21"/>
          <w:highlight w:val="none"/>
        </w:rPr>
        <w:t>。</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（8） 其他要求：</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（9）法律、行政法规和本项目招标文件规定的其他条件。</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4.2 投标人不得存在下列情形之一</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（1）与招标人存在利害关系且可能影响采购公正性。</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（2）与同一标段的其他投标人的单位负责人</w:t>
      </w:r>
      <w:r>
        <w:rPr>
          <w:rStyle w:val="19"/>
          <w:rFonts w:hint="eastAsia" w:ascii="仿宋" w:hAnsi="仿宋" w:eastAsia="仿宋" w:cs="仿宋"/>
          <w:b/>
          <w:bCs/>
          <w:color w:val="auto"/>
          <w:szCs w:val="21"/>
          <w:highlight w:val="none"/>
        </w:rPr>
        <w:footnoteReference w:id="0"/>
      </w:r>
      <w:r>
        <w:rPr>
          <w:rFonts w:hint="eastAsia" w:ascii="仿宋" w:hAnsi="仿宋" w:eastAsia="仿宋" w:cs="仿宋"/>
          <w:color w:val="auto"/>
          <w:szCs w:val="21"/>
          <w:highlight w:val="none"/>
        </w:rPr>
        <w:t>为同一人。</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（3）与同一标段的其他投标人存在直接控股</w:t>
      </w:r>
      <w:r>
        <w:rPr>
          <w:rStyle w:val="19"/>
          <w:rFonts w:hint="eastAsia" w:ascii="仿宋" w:hAnsi="仿宋" w:eastAsia="仿宋" w:cs="仿宋"/>
          <w:b/>
          <w:bCs/>
          <w:color w:val="auto"/>
          <w:szCs w:val="21"/>
          <w:highlight w:val="none"/>
        </w:rPr>
        <w:footnoteReference w:id="1"/>
      </w:r>
      <w:r>
        <w:rPr>
          <w:rFonts w:hint="eastAsia" w:ascii="仿宋" w:hAnsi="仿宋" w:eastAsia="仿宋" w:cs="仿宋"/>
          <w:color w:val="auto"/>
          <w:szCs w:val="21"/>
          <w:highlight w:val="none"/>
        </w:rPr>
        <w:t>关系。</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（4）与同一标段的其他投标人存在管理关系</w:t>
      </w:r>
      <w:r>
        <w:rPr>
          <w:rStyle w:val="19"/>
          <w:rFonts w:hint="eastAsia" w:ascii="仿宋" w:hAnsi="仿宋" w:eastAsia="仿宋" w:cs="仿宋"/>
          <w:b/>
          <w:bCs/>
          <w:color w:val="auto"/>
          <w:szCs w:val="21"/>
          <w:highlight w:val="none"/>
        </w:rPr>
        <w:footnoteReference w:id="2"/>
      </w:r>
      <w:r>
        <w:rPr>
          <w:rFonts w:hint="eastAsia" w:ascii="仿宋" w:hAnsi="仿宋" w:eastAsia="仿宋" w:cs="仿宋"/>
          <w:color w:val="auto"/>
          <w:szCs w:val="21"/>
          <w:highlight w:val="none"/>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（5）近三年内在经营活动中存在以下严重不良情形：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①被本广东省以上行业主管部门依法暂停、取消投标或禁止参加招标活动的。</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②处于被责令停产停业、暂扣或者吊销执照、暂扣或者吊销许可证、吊销资质证书状态。</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③进入清算程序，或被宣告破产，或其他丧失履约能力情形的。</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④根据肇庆市交通集团有限公司投标人管理要求，被禁止参与招标活动且处于有效期内的。</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⑤其他禁止情形：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pStyle w:val="20"/>
        <w:numPr>
          <w:ilvl w:val="0"/>
          <w:numId w:val="2"/>
        </w:numPr>
        <w:ind w:firstLine="46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在国家企业信用信息公示系统（http://www.gsxt.gov.cn/）中被列入严重违法失信企业名单。</w:t>
      </w:r>
    </w:p>
    <w:p>
      <w:pPr>
        <w:pStyle w:val="21"/>
        <w:numPr>
          <w:ilvl w:val="0"/>
          <w:numId w:val="2"/>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在“信用中国”网站（http://www.creditchina.gov.cn/）中被列入失信被执行人名单。</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 本次项目</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 xml:space="preserve">接受     </w:t>
      </w: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不接受联合体 参加招标活动。</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招标文件的获取</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5.1 登记时间</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从</w:t>
      </w:r>
      <w:r>
        <w:rPr>
          <w:rFonts w:hint="eastAsia" w:ascii="仿宋" w:hAnsi="仿宋" w:eastAsia="仿宋" w:cs="仿宋"/>
          <w:color w:val="auto"/>
          <w:szCs w:val="21"/>
          <w:highlight w:val="none"/>
          <w:u w:val="single"/>
        </w:rPr>
        <w:t>2023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日9：00时至</w:t>
      </w:r>
      <w:r>
        <w:rPr>
          <w:rFonts w:hint="eastAsia" w:ascii="仿宋" w:hAnsi="仿宋" w:eastAsia="仿宋" w:cs="仿宋"/>
          <w:color w:val="auto"/>
          <w:szCs w:val="21"/>
          <w:highlight w:val="none"/>
          <w:u w:val="single"/>
        </w:rPr>
        <w:t>2023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iCs/>
          <w:color w:val="auto"/>
          <w:szCs w:val="21"/>
          <w:highlight w:val="none"/>
        </w:rPr>
        <w:t>24：00时（北京时间）止。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5.2 获取方式</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u w:val="single"/>
        </w:rPr>
        <w:t>肇庆市交通集团电子采购平台</w:t>
      </w:r>
      <w:r>
        <w:rPr>
          <w:rFonts w:hint="eastAsia" w:ascii="仿宋" w:hAnsi="仿宋" w:eastAsia="仿宋" w:cs="仿宋"/>
          <w:color w:val="auto"/>
          <w:szCs w:val="21"/>
          <w:highlight w:val="none"/>
        </w:rPr>
        <w:t>下载招标文件，下载路径</w:t>
      </w:r>
      <w:r>
        <w:rPr>
          <w:rFonts w:hint="eastAsia" w:ascii="仿宋" w:hAnsi="仿宋" w:eastAsia="仿宋" w:cs="仿宋"/>
          <w:color w:val="auto"/>
          <w:szCs w:val="21"/>
          <w:highlight w:val="none"/>
          <w:u w:val="single"/>
        </w:rPr>
        <w:t>肇庆交通集团电子采购平台（http://36.140.21.61:8900/）</w:t>
      </w:r>
      <w:r>
        <w:rPr>
          <w:rFonts w:hint="eastAsia" w:ascii="仿宋" w:hAnsi="仿宋" w:eastAsia="仿宋" w:cs="仿宋"/>
          <w:color w:val="auto"/>
          <w:szCs w:val="21"/>
          <w:highlight w:val="none"/>
        </w:rPr>
        <w:t xml:space="preserve"> 。</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5.3 交纳招标文件工本费</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不收费。</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5.4 联系人</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在购买或领取招标文件时务必填写本次投标业务的联系人，在招标过程中的相关信息将以短信形式发送到该联系人手机上。自购买或领取招标文件之日起，投标人应保证其提供的联系方式一直有效，以便及时收到招标人发出的函件，否则招标人不承担由此引起的一切后果。</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投标文件递交</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6.1 投标文件递交截止时间</w:t>
      </w:r>
    </w:p>
    <w:p>
      <w:pPr>
        <w:adjustRightInd w:val="0"/>
        <w:snapToGrid w:val="0"/>
        <w:spacing w:line="360" w:lineRule="auto"/>
        <w:ind w:firstLine="420" w:firstLineChars="200"/>
        <w:rPr>
          <w:rFonts w:ascii="仿宋" w:hAnsi="仿宋" w:eastAsia="仿宋" w:cs="仿宋"/>
          <w:bCs/>
          <w:color w:val="auto"/>
          <w:szCs w:val="21"/>
          <w:highlight w:val="none"/>
          <w:u w:val="single"/>
        </w:rPr>
      </w:pPr>
      <w:r>
        <w:rPr>
          <w:rFonts w:hint="eastAsia" w:ascii="仿宋" w:hAnsi="仿宋" w:eastAsia="仿宋" w:cs="仿宋"/>
          <w:color w:val="auto"/>
          <w:szCs w:val="21"/>
          <w:highlight w:val="none"/>
          <w:u w:val="single"/>
        </w:rPr>
        <w:t>2023</w:t>
      </w:r>
      <w:r>
        <w:rPr>
          <w:rFonts w:hint="eastAsia" w:ascii="仿宋" w:hAnsi="仿宋" w:eastAsia="仿宋" w:cs="仿宋"/>
          <w:bCs/>
          <w:color w:val="auto"/>
          <w:szCs w:val="21"/>
          <w:highlight w:val="none"/>
          <w:u w:val="single"/>
        </w:rPr>
        <w:t xml:space="preserve">年 </w:t>
      </w:r>
      <w:r>
        <w:rPr>
          <w:rFonts w:hint="eastAsia" w:ascii="仿宋" w:hAnsi="仿宋" w:eastAsia="仿宋" w:cs="仿宋"/>
          <w:bCs/>
          <w:color w:val="auto"/>
          <w:szCs w:val="21"/>
          <w:highlight w:val="none"/>
          <w:u w:val="single"/>
          <w:lang w:val="en-US" w:eastAsia="zh-CN"/>
        </w:rPr>
        <w:t>11</w:t>
      </w:r>
      <w:r>
        <w:rPr>
          <w:rFonts w:hint="eastAsia" w:ascii="仿宋" w:hAnsi="仿宋" w:eastAsia="仿宋" w:cs="仿宋"/>
          <w:bCs/>
          <w:color w:val="auto"/>
          <w:szCs w:val="21"/>
          <w:highlight w:val="none"/>
          <w:u w:val="single"/>
        </w:rPr>
        <w:t xml:space="preserve"> 月 </w:t>
      </w:r>
      <w:r>
        <w:rPr>
          <w:rFonts w:hint="eastAsia" w:ascii="仿宋" w:hAnsi="仿宋" w:eastAsia="仿宋" w:cs="仿宋"/>
          <w:bCs/>
          <w:color w:val="auto"/>
          <w:szCs w:val="21"/>
          <w:highlight w:val="none"/>
          <w:u w:val="single"/>
          <w:lang w:val="en-US" w:eastAsia="zh-CN"/>
        </w:rPr>
        <w:t>7</w:t>
      </w:r>
      <w:r>
        <w:rPr>
          <w:rFonts w:hint="eastAsia" w:ascii="仿宋" w:hAnsi="仿宋" w:eastAsia="仿宋" w:cs="仿宋"/>
          <w:bCs/>
          <w:color w:val="auto"/>
          <w:szCs w:val="21"/>
          <w:highlight w:val="none"/>
          <w:u w:val="single"/>
        </w:rPr>
        <w:t xml:space="preserve">日 </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 xml:space="preserve"> 时 </w:t>
      </w:r>
      <w:r>
        <w:rPr>
          <w:rFonts w:hint="eastAsia" w:ascii="仿宋" w:hAnsi="仿宋" w:eastAsia="仿宋" w:cs="仿宋"/>
          <w:bCs/>
          <w:color w:val="auto"/>
          <w:szCs w:val="21"/>
          <w:highlight w:val="none"/>
          <w:u w:val="single"/>
          <w:lang w:val="en-US" w:eastAsia="zh-CN"/>
        </w:rPr>
        <w:t>00</w:t>
      </w:r>
      <w:r>
        <w:rPr>
          <w:rFonts w:hint="eastAsia" w:ascii="仿宋" w:hAnsi="仿宋" w:eastAsia="仿宋" w:cs="仿宋"/>
          <w:bCs/>
          <w:color w:val="auto"/>
          <w:szCs w:val="21"/>
          <w:highlight w:val="none"/>
          <w:u w:val="single"/>
        </w:rPr>
        <w:t xml:space="preserve"> 分</w:t>
      </w:r>
      <w:r>
        <w:rPr>
          <w:rFonts w:hint="eastAsia" w:ascii="仿宋" w:hAnsi="仿宋" w:eastAsia="仿宋" w:cs="仿宋"/>
          <w:bCs/>
          <w:color w:val="auto"/>
          <w:szCs w:val="21"/>
          <w:highlight w:val="none"/>
        </w:rPr>
        <w:t>（北京时间）。</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6.2 递交地址</w:t>
      </w:r>
    </w:p>
    <w:p>
      <w:pPr>
        <w:pStyle w:val="13"/>
        <w:spacing w:line="360" w:lineRule="auto"/>
        <w:ind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加密上传到</w:t>
      </w:r>
      <w:r>
        <w:rPr>
          <w:rFonts w:hint="eastAsia" w:ascii="仿宋" w:hAnsi="仿宋" w:eastAsia="仿宋" w:cs="仿宋"/>
          <w:color w:val="auto"/>
          <w:szCs w:val="21"/>
          <w:highlight w:val="none"/>
          <w:u w:val="single"/>
        </w:rPr>
        <w:t>肇庆市交通集团电子采购平台</w:t>
      </w:r>
      <w:r>
        <w:rPr>
          <w:rFonts w:hint="eastAsia" w:ascii="仿宋" w:hAnsi="仿宋" w:eastAsia="仿宋" w:cs="仿宋"/>
          <w:color w:val="auto"/>
          <w:szCs w:val="21"/>
          <w:highlight w:val="none"/>
        </w:rPr>
        <w:t>。</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投标文件的开启</w:t>
      </w:r>
    </w:p>
    <w:p>
      <w:pPr>
        <w:pStyle w:val="20"/>
        <w:ind w:firstLineChars="200"/>
        <w:rPr>
          <w:rFonts w:ascii="仿宋" w:hAnsi="仿宋" w:eastAsia="仿宋" w:cs="仿宋"/>
          <w:color w:val="auto"/>
          <w:spacing w:val="0"/>
          <w:kern w:val="2"/>
          <w:sz w:val="21"/>
          <w:szCs w:val="21"/>
          <w:highlight w:val="none"/>
        </w:rPr>
      </w:pPr>
      <w:r>
        <w:rPr>
          <w:rFonts w:hint="eastAsia" w:ascii="仿宋" w:hAnsi="仿宋" w:eastAsia="仿宋" w:cs="仿宋"/>
          <w:color w:val="auto"/>
          <w:spacing w:val="0"/>
          <w:kern w:val="2"/>
          <w:sz w:val="21"/>
          <w:szCs w:val="21"/>
          <w:highlight w:val="none"/>
        </w:rPr>
        <w:t>投标文件开启时间：</w:t>
      </w:r>
      <w:r>
        <w:rPr>
          <w:rFonts w:hint="eastAsia" w:ascii="仿宋" w:hAnsi="仿宋" w:eastAsia="仿宋" w:cs="仿宋"/>
          <w:color w:val="auto"/>
          <w:spacing w:val="0"/>
          <w:kern w:val="2"/>
          <w:sz w:val="21"/>
          <w:szCs w:val="21"/>
          <w:highlight w:val="none"/>
          <w:u w:val="single"/>
        </w:rPr>
        <w:t>2023</w:t>
      </w:r>
      <w:r>
        <w:rPr>
          <w:rFonts w:hint="eastAsia" w:ascii="仿宋" w:hAnsi="仿宋" w:eastAsia="仿宋" w:cs="仿宋"/>
          <w:color w:val="auto"/>
          <w:spacing w:val="0"/>
          <w:kern w:val="2"/>
          <w:sz w:val="21"/>
          <w:szCs w:val="21"/>
          <w:highlight w:val="none"/>
        </w:rPr>
        <w:t>年</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u w:val="single"/>
          <w:lang w:val="en-US" w:eastAsia="zh-CN"/>
        </w:rPr>
        <w:t>11</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rPr>
        <w:t>月</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u w:val="single"/>
          <w:lang w:val="en-US" w:eastAsia="zh-CN"/>
        </w:rPr>
        <w:t>7</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rPr>
        <w:t>日</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u w:val="single"/>
          <w:lang w:val="en-US" w:eastAsia="zh-CN"/>
        </w:rPr>
        <w:t>9</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rPr>
        <w:t>时</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u w:val="single"/>
          <w:lang w:val="en-US" w:eastAsia="zh-CN"/>
        </w:rPr>
        <w:t>00</w:t>
      </w:r>
      <w:r>
        <w:rPr>
          <w:rFonts w:hint="eastAsia" w:ascii="仿宋" w:hAnsi="仿宋" w:eastAsia="仿宋" w:cs="仿宋"/>
          <w:color w:val="auto"/>
          <w:spacing w:val="0"/>
          <w:kern w:val="2"/>
          <w:sz w:val="21"/>
          <w:szCs w:val="21"/>
          <w:highlight w:val="none"/>
          <w:u w:val="single"/>
        </w:rPr>
        <w:t xml:space="preserve">  </w:t>
      </w:r>
      <w:r>
        <w:rPr>
          <w:rFonts w:hint="eastAsia" w:ascii="仿宋" w:hAnsi="仿宋" w:eastAsia="仿宋" w:cs="仿宋"/>
          <w:color w:val="auto"/>
          <w:spacing w:val="0"/>
          <w:kern w:val="2"/>
          <w:sz w:val="21"/>
          <w:szCs w:val="21"/>
          <w:highlight w:val="none"/>
        </w:rPr>
        <w:t>分。地点：</w:t>
      </w:r>
      <w:r>
        <w:rPr>
          <w:rFonts w:hint="eastAsia" w:ascii="仿宋" w:hAnsi="仿宋" w:eastAsia="仿宋" w:cs="仿宋"/>
          <w:bCs/>
          <w:color w:val="auto"/>
          <w:sz w:val="21"/>
          <w:szCs w:val="21"/>
          <w:highlight w:val="none"/>
          <w:u w:val="single"/>
        </w:rPr>
        <w:t>肇庆市交通集团有限公司二楼矿业会议室。</w:t>
      </w:r>
    </w:p>
    <w:p>
      <w:pPr>
        <w:numPr>
          <w:ilvl w:val="0"/>
          <w:numId w:val="1"/>
        </w:num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8.1 登录</w:t>
      </w:r>
    </w:p>
    <w:p>
      <w:pPr>
        <w:adjustRightInd w:val="0"/>
        <w:snapToGrid w:val="0"/>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本项目通过</w:t>
      </w:r>
      <w:r>
        <w:rPr>
          <w:rFonts w:hint="eastAsia" w:ascii="仿宋" w:hAnsi="仿宋" w:eastAsia="仿宋" w:cs="仿宋"/>
          <w:bCs/>
          <w:color w:val="auto"/>
          <w:szCs w:val="21"/>
          <w:highlight w:val="none"/>
          <w:u w:val="single"/>
        </w:rPr>
        <w:t>肇庆市交通集团有限公司电子采购</w:t>
      </w:r>
      <w:r>
        <w:rPr>
          <w:rFonts w:hint="eastAsia" w:ascii="仿宋" w:hAnsi="仿宋" w:eastAsia="仿宋" w:cs="仿宋"/>
          <w:bCs/>
          <w:color w:val="auto"/>
          <w:szCs w:val="21"/>
          <w:highlight w:val="none"/>
        </w:rPr>
        <w:t>平台提供投标人注册、登记获取招标文件、下载招标文件、递交投标文件、澄清说明和补正等功能。投标人须访问</w:t>
      </w:r>
      <w:r>
        <w:rPr>
          <w:rFonts w:hint="eastAsia" w:ascii="仿宋" w:hAnsi="仿宋" w:eastAsia="仿宋" w:cs="仿宋"/>
          <w:bCs/>
          <w:color w:val="auto"/>
          <w:szCs w:val="21"/>
          <w:highlight w:val="none"/>
          <w:u w:val="single"/>
        </w:rPr>
        <w:t>肇庆市交通集团有限公司电子采购</w:t>
      </w:r>
      <w:r>
        <w:rPr>
          <w:rFonts w:hint="eastAsia" w:ascii="仿宋" w:hAnsi="仿宋" w:eastAsia="仿宋" w:cs="仿宋"/>
          <w:bCs/>
          <w:color w:val="auto"/>
          <w:szCs w:val="21"/>
          <w:highlight w:val="none"/>
        </w:rPr>
        <w:t>平台完成注册、交费、下载等有关操作，平台登录方式：</w:t>
      </w:r>
      <w:r>
        <w:rPr>
          <w:rFonts w:hint="eastAsia" w:ascii="仿宋" w:hAnsi="仿宋" w:eastAsia="仿宋" w:cs="仿宋"/>
          <w:color w:val="auto"/>
          <w:szCs w:val="21"/>
          <w:highlight w:val="none"/>
          <w:u w:val="single"/>
        </w:rPr>
        <w:t>肇庆交通集团电子采购平台（http://36.140.21.61:8900/）凭投标人账号密码登录</w:t>
      </w:r>
      <w:r>
        <w:rPr>
          <w:rFonts w:hint="eastAsia" w:ascii="仿宋" w:hAnsi="仿宋" w:eastAsia="仿宋" w:cs="仿宋"/>
          <w:bCs/>
          <w:color w:val="auto"/>
          <w:szCs w:val="21"/>
          <w:highlight w:val="none"/>
        </w:rPr>
        <w:t>。</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8.2 投标文件递交注意事项</w:t>
      </w:r>
    </w:p>
    <w:p>
      <w:pPr>
        <w:pStyle w:val="13"/>
        <w:spacing w:line="360" w:lineRule="auto"/>
        <w:ind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8.2.1 投标人请于投标文件递交截止时间前登录</w:t>
      </w:r>
      <w:r>
        <w:rPr>
          <w:rFonts w:hint="eastAsia" w:ascii="仿宋" w:hAnsi="仿宋" w:eastAsia="仿宋" w:cs="仿宋"/>
          <w:bCs/>
          <w:color w:val="auto"/>
          <w:szCs w:val="21"/>
          <w:highlight w:val="none"/>
          <w:u w:val="single"/>
        </w:rPr>
        <w:t>肇庆市交通集团有限公司电子采购</w:t>
      </w:r>
      <w:r>
        <w:rPr>
          <w:rFonts w:hint="eastAsia" w:ascii="仿宋" w:hAnsi="仿宋" w:eastAsia="仿宋" w:cs="仿宋"/>
          <w:bCs/>
          <w:color w:val="auto"/>
          <w:szCs w:val="21"/>
          <w:highlight w:val="none"/>
        </w:rPr>
        <w:t>平台进入投标文件递交页面。投标人的电脑和网络环境应按照</w:t>
      </w:r>
      <w:r>
        <w:rPr>
          <w:rFonts w:hint="eastAsia" w:ascii="仿宋" w:hAnsi="仿宋" w:eastAsia="仿宋" w:cs="仿宋"/>
          <w:bCs/>
          <w:color w:val="auto"/>
          <w:szCs w:val="21"/>
          <w:highlight w:val="none"/>
          <w:u w:val="single"/>
        </w:rPr>
        <w:t>肇庆市交通集团有限公司电子采购</w:t>
      </w:r>
      <w:r>
        <w:rPr>
          <w:rFonts w:hint="eastAsia" w:ascii="仿宋" w:hAnsi="仿宋" w:eastAsia="仿宋" w:cs="仿宋"/>
          <w:bCs/>
          <w:color w:val="auto"/>
          <w:szCs w:val="21"/>
          <w:highlight w:val="none"/>
        </w:rPr>
        <w:t>平台要求。电子投标文件逾期上传或上传未成功，招标人拒收投标文件（平台自动关闭上传端口）。参加多个标段投标的投标人必须分别按相应标段进行登记，并按对标段分别递交电子投标文件。招标人温馨提醒，为避免近响应截止时间网络拥堵，建议投标人适当提前上传时间。</w:t>
      </w:r>
    </w:p>
    <w:p>
      <w:pPr>
        <w:keepNext/>
        <w:keepLines/>
        <w:adjustRightInd w:val="0"/>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9. 质疑与投诉</w:t>
      </w:r>
    </w:p>
    <w:p>
      <w:pPr>
        <w:widowControl/>
        <w:adjustRightInd w:val="0"/>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认为自己的权益受到损害的，可以在知道或者应知其权益受到损害之日起七个工作日内，向招标人提出质疑。质疑须以书面形式提出，列明质疑事项及相关依据，联系人、联系电话、传真、详细地址、邮编等基本信息并加盖公章。格式自拟。</w:t>
      </w:r>
    </w:p>
    <w:p>
      <w:pPr>
        <w:widowControl/>
        <w:adjustRightInd w:val="0"/>
        <w:snapToGrid w:val="0"/>
        <w:spacing w:line="360" w:lineRule="auto"/>
        <w:ind w:firstLine="422" w:firstLineChars="200"/>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10. 其他补充事宜</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 </w:t>
      </w:r>
    </w:p>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11. 特别提示：本招标项目为企业招标，不属于依法必须公开招标和政府采购范围。</w:t>
      </w:r>
    </w:p>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12. 联系方式。</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招标人</w:t>
      </w:r>
      <w:r>
        <w:rPr>
          <w:rFonts w:hint="eastAsia" w:ascii="仿宋" w:hAnsi="仿宋" w:eastAsia="仿宋" w:cs="仿宋"/>
          <w:color w:val="auto"/>
          <w:kern w:val="0"/>
          <w:szCs w:val="21"/>
          <w:highlight w:val="none"/>
        </w:rPr>
        <w:t xml:space="preserve">： </w:t>
      </w:r>
      <w:r>
        <w:rPr>
          <w:rFonts w:hint="eastAsia" w:ascii="仿宋" w:hAnsi="仿宋" w:eastAsia="仿宋" w:cs="仿宋"/>
          <w:color w:val="auto"/>
          <w:szCs w:val="21"/>
          <w:highlight w:val="none"/>
          <w:u w:val="single"/>
        </w:rPr>
        <w:t>肇庆交投孔湾港务有限公司</w:t>
      </w:r>
    </w:p>
    <w:p>
      <w:pPr>
        <w:widowControl/>
        <w:adjustRightInd w:val="0"/>
        <w:snapToGrid w:val="0"/>
        <w:spacing w:line="360" w:lineRule="auto"/>
        <w:ind w:firstLine="420" w:firstLineChars="200"/>
        <w:jc w:val="left"/>
        <w:rPr>
          <w:rFonts w:ascii="仿宋" w:hAnsi="仿宋" w:eastAsia="仿宋" w:cs="仿宋"/>
          <w:color w:val="auto"/>
          <w:szCs w:val="21"/>
          <w:highlight w:val="none"/>
          <w:u w:val="single"/>
        </w:rPr>
      </w:pPr>
      <w:r>
        <w:rPr>
          <w:rFonts w:hint="eastAsia" w:ascii="仿宋" w:hAnsi="仿宋" w:eastAsia="仿宋" w:cs="仿宋"/>
          <w:color w:val="auto"/>
          <w:kern w:val="0"/>
          <w:szCs w:val="21"/>
          <w:highlight w:val="none"/>
        </w:rPr>
        <w:t xml:space="preserve">地  址： </w:t>
      </w:r>
      <w:r>
        <w:rPr>
          <w:rFonts w:hint="eastAsia" w:ascii="仿宋" w:hAnsi="仿宋" w:eastAsia="仿宋" w:cs="仿宋"/>
          <w:color w:val="auto"/>
          <w:szCs w:val="21"/>
          <w:highlight w:val="none"/>
          <w:u w:val="single"/>
        </w:rPr>
        <w:t>肇庆市端州区站前西路肇庆市交通集团</w:t>
      </w:r>
    </w:p>
    <w:p>
      <w:pPr>
        <w:widowControl/>
        <w:adjustRightInd w:val="0"/>
        <w:snapToGrid w:val="0"/>
        <w:spacing w:line="360" w:lineRule="auto"/>
        <w:ind w:firstLine="420" w:firstLineChars="200"/>
        <w:jc w:val="lef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 xml:space="preserve">联系人： </w:t>
      </w:r>
      <w:r>
        <w:rPr>
          <w:rFonts w:hint="eastAsia" w:ascii="仿宋" w:hAnsi="仿宋" w:eastAsia="仿宋" w:cs="仿宋"/>
          <w:color w:val="auto"/>
          <w:szCs w:val="21"/>
          <w:highlight w:val="none"/>
          <w:u w:val="single"/>
          <w:lang w:eastAsia="zh-CN"/>
        </w:rPr>
        <w:t>余先生</w:t>
      </w:r>
    </w:p>
    <w:p>
      <w:pPr>
        <w:widowControl/>
        <w:adjustRightInd w:val="0"/>
        <w:snapToGrid w:val="0"/>
        <w:spacing w:line="360" w:lineRule="auto"/>
        <w:ind w:firstLine="420" w:firstLineChars="200"/>
        <w:jc w:val="left"/>
        <w:rPr>
          <w:rFonts w:hint="eastAsia" w:ascii="仿宋" w:hAnsi="仿宋" w:eastAsia="仿宋" w:cs="仿宋"/>
          <w:color w:val="auto"/>
          <w:szCs w:val="21"/>
          <w:highlight w:val="none"/>
          <w:u w:val="single"/>
          <w:lang w:eastAsia="zh-CN"/>
        </w:rPr>
      </w:pPr>
      <w:r>
        <w:rPr>
          <w:rFonts w:hint="eastAsia" w:ascii="仿宋" w:hAnsi="仿宋" w:eastAsia="仿宋" w:cs="仿宋"/>
          <w:color w:val="auto"/>
          <w:kern w:val="0"/>
          <w:szCs w:val="21"/>
          <w:highlight w:val="none"/>
        </w:rPr>
        <w:t>联系方式：</w:t>
      </w:r>
      <w:r>
        <w:rPr>
          <w:rFonts w:hint="eastAsia" w:ascii="仿宋" w:hAnsi="仿宋" w:eastAsia="仿宋" w:cs="仿宋"/>
          <w:color w:val="auto"/>
          <w:szCs w:val="21"/>
          <w:highlight w:val="none"/>
          <w:u w:val="single"/>
          <w:lang w:eastAsia="zh-CN"/>
        </w:rPr>
        <w:t>13073707760</w:t>
      </w:r>
    </w:p>
    <w:p>
      <w:pPr>
        <w:adjustRightInd w:val="0"/>
        <w:snapToGrid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bCs/>
          <w:color w:val="auto"/>
          <w:szCs w:val="21"/>
          <w:highlight w:val="none"/>
        </w:rPr>
        <w:t>电子邮箱：</w:t>
      </w:r>
      <w:r>
        <w:rPr>
          <w:rFonts w:hint="eastAsia" w:ascii="仿宋" w:hAnsi="仿宋" w:eastAsia="仿宋" w:cs="仿宋"/>
          <w:color w:val="auto"/>
          <w:szCs w:val="21"/>
          <w:highlight w:val="none"/>
          <w:u w:val="single"/>
        </w:rPr>
        <w:t>zqjtbjgw@163.com</w:t>
      </w:r>
    </w:p>
    <w:p>
      <w:pPr>
        <w:pStyle w:val="20"/>
        <w:rPr>
          <w:color w:val="auto"/>
          <w:highlight w:val="none"/>
        </w:rPr>
      </w:pPr>
    </w:p>
    <w:p>
      <w:pPr>
        <w:widowControl/>
        <w:adjustRightInd w:val="0"/>
        <w:snapToGrid w:val="0"/>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u w:val="single"/>
        </w:rPr>
        <w:t>肇庆交投孔湾港务有限公司</w:t>
      </w:r>
      <w:r>
        <w:rPr>
          <w:rFonts w:hint="eastAsia" w:ascii="仿宋" w:hAnsi="仿宋" w:eastAsia="仿宋" w:cs="仿宋"/>
          <w:color w:val="auto"/>
          <w:szCs w:val="21"/>
          <w:highlight w:val="none"/>
        </w:rPr>
        <w:t>（单位章）</w:t>
      </w:r>
    </w:p>
    <w:p>
      <w:pPr>
        <w:pStyle w:val="13"/>
        <w:spacing w:line="360" w:lineRule="auto"/>
        <w:ind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2023年 </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rPr>
        <w:t xml:space="preserve"> 月 </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u w:val="single"/>
        </w:rPr>
        <w:t xml:space="preserve"> 日</w:t>
      </w:r>
    </w:p>
    <w:p>
      <w:pPr>
        <w:adjustRightInd w:val="0"/>
        <w:snapToGrid w:val="0"/>
        <w:spacing w:line="360" w:lineRule="auto"/>
        <w:ind w:firstLine="420" w:firstLineChars="200"/>
        <w:rPr>
          <w:rFonts w:ascii="仿宋" w:hAnsi="仿宋" w:eastAsia="仿宋" w:cs="仿宋"/>
          <w:color w:val="auto"/>
          <w:szCs w:val="21"/>
          <w:highlight w:val="none"/>
          <w:u w:val="single"/>
        </w:rPr>
      </w:pPr>
    </w:p>
    <w:p>
      <w:pPr>
        <w:adjustRightInd w:val="0"/>
        <w:snapToGrid w:val="0"/>
        <w:spacing w:line="360" w:lineRule="auto"/>
        <w:ind w:firstLine="422" w:firstLineChars="200"/>
        <w:rPr>
          <w:rFonts w:ascii="仿宋" w:hAnsi="仿宋" w:eastAsia="仿宋" w:cs="仿宋"/>
          <w:b/>
          <w:bCs/>
          <w:color w:val="auto"/>
          <w:szCs w:val="21"/>
          <w:highlight w:val="none"/>
        </w:rPr>
        <w:sectPr>
          <w:footerReference r:id="rId4" w:type="default"/>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pPr>
    </w:p>
    <w:p>
      <w:pPr>
        <w:pStyle w:val="2"/>
        <w:adjustRightInd w:val="0"/>
        <w:snapToGrid w:val="0"/>
        <w:spacing w:before="0" w:after="0" w:line="360" w:lineRule="auto"/>
        <w:jc w:val="center"/>
        <w:rPr>
          <w:rFonts w:ascii="仿宋" w:hAnsi="仿宋" w:eastAsia="仿宋" w:cs="仿宋"/>
          <w:color w:val="auto"/>
          <w:sz w:val="30"/>
          <w:szCs w:val="30"/>
          <w:highlight w:val="none"/>
        </w:rPr>
      </w:pPr>
      <w:bookmarkStart w:id="3" w:name="_Toc12107_WPSOffice_Level1"/>
      <w:bookmarkStart w:id="4" w:name="_Toc12527"/>
      <w:bookmarkStart w:id="5" w:name="_Toc17166"/>
      <w:r>
        <w:rPr>
          <w:rFonts w:hint="eastAsia" w:ascii="仿宋" w:hAnsi="仿宋" w:eastAsia="仿宋" w:cs="仿宋"/>
          <w:color w:val="auto"/>
          <w:sz w:val="30"/>
          <w:szCs w:val="30"/>
          <w:highlight w:val="none"/>
        </w:rPr>
        <w:t xml:space="preserve">第二章 </w:t>
      </w:r>
      <w:bookmarkEnd w:id="3"/>
      <w:r>
        <w:rPr>
          <w:rFonts w:hint="eastAsia" w:ascii="仿宋" w:hAnsi="仿宋" w:eastAsia="仿宋" w:cs="仿宋"/>
          <w:color w:val="auto"/>
          <w:sz w:val="30"/>
          <w:szCs w:val="30"/>
          <w:highlight w:val="none"/>
        </w:rPr>
        <w:t>投标人须知</w:t>
      </w:r>
      <w:bookmarkEnd w:id="4"/>
      <w:bookmarkEnd w:id="5"/>
    </w:p>
    <w:p>
      <w:pPr>
        <w:pStyle w:val="4"/>
        <w:ind w:firstLine="0" w:firstLineChars="0"/>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 投标人须知表</w:t>
      </w:r>
    </w:p>
    <w:tbl>
      <w:tblPr>
        <w:tblStyle w:val="14"/>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6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870"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条款号</w:t>
            </w:r>
          </w:p>
        </w:tc>
        <w:tc>
          <w:tcPr>
            <w:tcW w:w="1562" w:type="dxa"/>
            <w:tcBorders>
              <w:tl2br w:val="nil"/>
              <w:tr2bl w:val="nil"/>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项   目</w:t>
            </w:r>
          </w:p>
        </w:tc>
        <w:tc>
          <w:tcPr>
            <w:tcW w:w="6173"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562" w:type="dxa"/>
            <w:tcBorders>
              <w:tl2br w:val="nil"/>
              <w:tr2bl w:val="nil"/>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招标人</w:t>
            </w:r>
          </w:p>
        </w:tc>
        <w:tc>
          <w:tcPr>
            <w:tcW w:w="6173" w:type="dxa"/>
            <w:tcBorders>
              <w:tl2br w:val="nil"/>
              <w:tr2bl w:val="nil"/>
            </w:tcBorders>
            <w:vAlign w:val="center"/>
          </w:tcPr>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名  称：</w:t>
            </w:r>
            <w:r>
              <w:rPr>
                <w:rFonts w:hint="eastAsia" w:ascii="仿宋_GB2312" w:hAnsi="仿宋_GB2312" w:eastAsia="仿宋_GB2312" w:cs="仿宋_GB2312"/>
                <w:color w:val="auto"/>
                <w:kern w:val="0"/>
                <w:szCs w:val="21"/>
                <w:highlight w:val="none"/>
                <w:u w:val="single"/>
              </w:rPr>
              <w:t>肇庆交投孔湾港务有限公司</w:t>
            </w:r>
          </w:p>
          <w:p>
            <w:pPr>
              <w:widowControl/>
              <w:jc w:val="left"/>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地  址：</w:t>
            </w:r>
            <w:r>
              <w:rPr>
                <w:rFonts w:hint="eastAsia" w:ascii="仿宋_GB2312" w:hAnsi="仿宋_GB2312" w:eastAsia="仿宋_GB2312" w:cs="仿宋_GB2312"/>
                <w:color w:val="auto"/>
                <w:kern w:val="0"/>
                <w:szCs w:val="21"/>
                <w:highlight w:val="none"/>
                <w:u w:val="single"/>
              </w:rPr>
              <w:t>肇庆市端州区站前西路肇庆市交通集团</w:t>
            </w:r>
          </w:p>
          <w:p>
            <w:pPr>
              <w:widowControl/>
              <w:jc w:val="left"/>
              <w:rPr>
                <w:rFonts w:hint="eastAsia" w:ascii="仿宋_GB2312" w:hAnsi="仿宋_GB2312" w:eastAsia="仿宋_GB2312" w:cs="仿宋_GB2312"/>
                <w:color w:val="auto"/>
                <w:kern w:val="0"/>
                <w:szCs w:val="21"/>
                <w:highlight w:val="none"/>
                <w:u w:val="single"/>
                <w:lang w:eastAsia="zh-CN"/>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color w:val="auto"/>
                <w:kern w:val="0"/>
                <w:szCs w:val="21"/>
                <w:highlight w:val="none"/>
                <w:u w:val="single"/>
                <w:lang w:eastAsia="zh-CN"/>
              </w:rPr>
              <w:t>余先生</w:t>
            </w:r>
          </w:p>
          <w:p>
            <w:pPr>
              <w:widowControl/>
              <w:jc w:val="left"/>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color w:val="auto"/>
                <w:kern w:val="0"/>
                <w:szCs w:val="21"/>
                <w:highlight w:val="none"/>
                <w:u w:val="single"/>
                <w:lang w:eastAsia="zh-CN"/>
              </w:rPr>
              <w:t>13073707760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1.2.3</w:t>
            </w:r>
          </w:p>
        </w:tc>
        <w:tc>
          <w:tcPr>
            <w:tcW w:w="1562" w:type="dxa"/>
            <w:tcBorders>
              <w:tl2br w:val="nil"/>
              <w:tr2bl w:val="nil"/>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投标人还要满足的其它资格条件</w:t>
            </w:r>
          </w:p>
        </w:tc>
        <w:tc>
          <w:tcPr>
            <w:tcW w:w="6173" w:type="dxa"/>
            <w:tcBorders>
              <w:tl2br w:val="nil"/>
              <w:tr2bl w:val="nil"/>
            </w:tcBorders>
            <w:vAlign w:val="center"/>
          </w:tcPr>
          <w:p>
            <w:pPr>
              <w:widowControl/>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见“第一章 招标公告 4.投标人的资格要求”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1562" w:type="dxa"/>
            <w:tcBorders>
              <w:tl2br w:val="nil"/>
              <w:tr2bl w:val="nil"/>
            </w:tcBorders>
            <w:vAlign w:val="center"/>
          </w:tcPr>
          <w:p>
            <w:pPr>
              <w:tabs>
                <w:tab w:val="left" w:pos="1425"/>
              </w:tabs>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是否允许联合体参加招标活动</w:t>
            </w:r>
          </w:p>
        </w:tc>
        <w:tc>
          <w:tcPr>
            <w:tcW w:w="6173" w:type="dxa"/>
            <w:tcBorders>
              <w:tl2br w:val="nil"/>
              <w:tr2bl w:val="nil"/>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1.3.6</w:t>
            </w:r>
          </w:p>
        </w:tc>
        <w:tc>
          <w:tcPr>
            <w:tcW w:w="1562" w:type="dxa"/>
            <w:tcBorders>
              <w:tl2br w:val="nil"/>
              <w:tr2bl w:val="nil"/>
            </w:tcBorders>
            <w:vAlign w:val="center"/>
          </w:tcPr>
          <w:p>
            <w:pPr>
              <w:tabs>
                <w:tab w:val="left" w:pos="1425"/>
              </w:tabs>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联合体的其他资格要求</w:t>
            </w:r>
          </w:p>
        </w:tc>
        <w:tc>
          <w:tcPr>
            <w:tcW w:w="6173" w:type="dxa"/>
            <w:tcBorders>
              <w:tl2br w:val="nil"/>
              <w:tr2bl w:val="nil"/>
            </w:tcBorders>
            <w:vAlign w:val="center"/>
          </w:tcPr>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tcBorders>
              <w:tl2br w:val="nil"/>
              <w:tr2bl w:val="nil"/>
            </w:tcBorders>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1562" w:type="dxa"/>
            <w:tcBorders>
              <w:tl2br w:val="nil"/>
              <w:tr2bl w:val="nil"/>
            </w:tcBorders>
            <w:vAlign w:val="center"/>
          </w:tcPr>
          <w:p>
            <w:pPr>
              <w:shd w:val="clear" w:color="auto" w:fill="FFFFFF"/>
              <w:jc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最高限价</w:t>
            </w:r>
          </w:p>
        </w:tc>
        <w:tc>
          <w:tcPr>
            <w:tcW w:w="6173" w:type="dxa"/>
            <w:tcBorders>
              <w:tl2br w:val="nil"/>
              <w:tr2bl w:val="nil"/>
            </w:tcBorders>
            <w:vAlign w:val="center"/>
          </w:tcPr>
          <w:p>
            <w:pP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现场考察、答疑会</w:t>
            </w:r>
          </w:p>
        </w:tc>
        <w:tc>
          <w:tcPr>
            <w:tcW w:w="6173" w:type="dxa"/>
            <w:tcBorders>
              <w:tl2br w:val="nil"/>
              <w:tr2bl w:val="nil"/>
            </w:tcBorders>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不组织</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组织，时  间：</w:t>
            </w:r>
            <w:r>
              <w:rPr>
                <w:rFonts w:hint="eastAsia" w:ascii="仿宋_GB2312" w:hAnsi="仿宋_GB2312" w:eastAsia="仿宋_GB2312" w:cs="仿宋_GB2312"/>
                <w:bCs/>
                <w:color w:val="auto"/>
                <w:kern w:val="0"/>
                <w:szCs w:val="21"/>
                <w:highlight w:val="none"/>
                <w:u w:val="single"/>
              </w:rPr>
              <w:t xml:space="preserve">         </w:t>
            </w:r>
          </w:p>
          <w:p>
            <w:pPr>
              <w:widowControl/>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地  点：</w:t>
            </w:r>
            <w:r>
              <w:rPr>
                <w:rFonts w:hint="eastAsia" w:ascii="仿宋_GB2312" w:hAnsi="仿宋_GB2312" w:eastAsia="仿宋_GB2312" w:cs="仿宋_GB2312"/>
                <w:bCs/>
                <w:color w:val="auto"/>
                <w:kern w:val="0"/>
                <w:szCs w:val="21"/>
                <w:highlight w:val="none"/>
                <w:u w:val="single"/>
              </w:rPr>
              <w:t xml:space="preserve">         </w:t>
            </w:r>
          </w:p>
          <w:p>
            <w:pPr>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联系人：</w:t>
            </w:r>
            <w:r>
              <w:rPr>
                <w:rFonts w:hint="eastAsia" w:ascii="仿宋_GB2312" w:hAnsi="仿宋_GB2312" w:eastAsia="仿宋_GB2312" w:cs="仿宋_GB2312"/>
                <w:bCs/>
                <w:color w:val="auto"/>
                <w:kern w:val="0"/>
                <w:szCs w:val="21"/>
                <w:highlight w:val="none"/>
                <w:u w:val="single"/>
              </w:rPr>
              <w:t xml:space="preserve">         </w:t>
            </w:r>
          </w:p>
          <w:p>
            <w:pPr>
              <w:ind w:left="-105" w:leftChars="-50" w:firstLine="949" w:firstLineChars="452"/>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电  话：</w:t>
            </w:r>
            <w:r>
              <w:rPr>
                <w:rFonts w:hint="eastAsia" w:ascii="仿宋_GB2312" w:hAnsi="仿宋_GB2312" w:eastAsia="仿宋_GB2312" w:cs="仿宋_GB2312"/>
                <w:bCs/>
                <w:color w:val="auto"/>
                <w:kern w:val="0"/>
                <w:szCs w:val="21"/>
                <w:highlight w:val="none"/>
                <w:u w:val="single"/>
              </w:rPr>
              <w:t xml:space="preserve">         </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组织，招标文件提供期限截止后以书面形式通知。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分包</w:t>
            </w:r>
          </w:p>
        </w:tc>
        <w:tc>
          <w:tcPr>
            <w:tcW w:w="6173" w:type="dxa"/>
            <w:tcBorders>
              <w:tl2br w:val="nil"/>
              <w:tr2bl w:val="nil"/>
            </w:tcBorders>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52"/>
            </w:r>
            <w:r>
              <w:rPr>
                <w:rFonts w:hint="eastAsia" w:ascii="仿宋_GB2312" w:hAnsi="仿宋_GB2312" w:eastAsia="仿宋_GB2312" w:cs="仿宋_GB2312"/>
                <w:color w:val="auto"/>
                <w:szCs w:val="21"/>
                <w:highlight w:val="none"/>
              </w:rPr>
              <w:t>不允许</w:t>
            </w:r>
          </w:p>
          <w:p>
            <w:pPr>
              <w:pStyle w:val="20"/>
              <w:ind w:firstLine="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sym w:font="Wingdings 2" w:char="00A3"/>
            </w:r>
            <w:r>
              <w:rPr>
                <w:rFonts w:hint="eastAsia" w:ascii="仿宋_GB2312" w:hAnsi="仿宋_GB2312" w:eastAsia="仿宋_GB2312" w:cs="仿宋_GB2312"/>
                <w:color w:val="auto"/>
                <w:sz w:val="21"/>
                <w:szCs w:val="21"/>
                <w:highlight w:val="none"/>
              </w:rPr>
              <w:t>允许，</w:t>
            </w:r>
          </w:p>
          <w:p>
            <w:pPr>
              <w:pStyle w:val="21"/>
              <w:numPr>
                <w:ilvl w:val="0"/>
                <w:numId w:val="3"/>
              </w:num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分包内容：</w:t>
            </w:r>
          </w:p>
          <w:p>
            <w:pPr>
              <w:pStyle w:val="21"/>
              <w:numPr>
                <w:ilvl w:val="0"/>
                <w:numId w:val="3"/>
              </w:num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分包资质要求：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14.1</w:t>
            </w:r>
          </w:p>
        </w:tc>
        <w:tc>
          <w:tcPr>
            <w:tcW w:w="1562" w:type="dxa"/>
            <w:tcBorders>
              <w:tl2br w:val="nil"/>
              <w:tr2bl w:val="nil"/>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投标保证金</w:t>
            </w:r>
          </w:p>
        </w:tc>
        <w:tc>
          <w:tcPr>
            <w:tcW w:w="6173" w:type="dxa"/>
            <w:tcBorders>
              <w:tl2br w:val="nil"/>
              <w:tr2bl w:val="nil"/>
            </w:tcBorders>
            <w:vAlign w:val="center"/>
          </w:tcPr>
          <w:p>
            <w:pPr>
              <w:pStyle w:val="5"/>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是否要求投标人递交投标保证金</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否</w:t>
            </w:r>
          </w:p>
          <w:p>
            <w:pPr>
              <w:pStyle w:val="5"/>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是，并满足下列要求（投标人参加多个标段投标的，应按所投标段分别递交投标保证金）：</w:t>
            </w:r>
          </w:p>
          <w:p>
            <w:pPr>
              <w:pStyle w:val="5"/>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r>
              <w:rPr>
                <w:rFonts w:hint="eastAsia" w:ascii="仿宋_GB2312" w:hAnsi="仿宋_GB2312" w:eastAsia="仿宋_GB2312" w:cs="仿宋_GB2312"/>
                <w:color w:val="auto"/>
                <w:szCs w:val="21"/>
                <w:highlight w:val="none"/>
              </w:rPr>
              <w:t>投标保证金</w:t>
            </w:r>
            <w:r>
              <w:rPr>
                <w:rFonts w:hint="eastAsia" w:ascii="仿宋_GB2312" w:hAnsi="仿宋_GB2312" w:eastAsia="仿宋_GB2312" w:cs="仿宋_GB2312"/>
                <w:color w:val="auto"/>
                <w:kern w:val="0"/>
                <w:szCs w:val="21"/>
                <w:highlight w:val="none"/>
              </w:rPr>
              <w:t>金额：人民币</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kern w:val="0"/>
                <w:szCs w:val="21"/>
                <w:highlight w:val="none"/>
              </w:rPr>
              <w:t>元</w:t>
            </w:r>
          </w:p>
          <w:p>
            <w:pPr>
              <w:pStyle w:val="5"/>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2.投标保证金到账时间：</w:t>
            </w:r>
            <w:r>
              <w:rPr>
                <w:rFonts w:hint="eastAsia" w:ascii="仿宋_GB2312" w:hAnsi="仿宋_GB2312" w:eastAsia="仿宋_GB2312" w:cs="仿宋_GB2312"/>
                <w:color w:val="auto"/>
                <w:szCs w:val="21"/>
                <w:highlight w:val="none"/>
                <w:u w:val="single"/>
              </w:rPr>
              <w:t>递交投标文件截止时间前</w:t>
            </w:r>
          </w:p>
          <w:p>
            <w:pPr>
              <w:pStyle w:val="5"/>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 xml:space="preserve">3.投标保证金缴纳方式：现金（支票）或银行保函或担保机构的保函或保险机构的保单。   </w:t>
            </w:r>
          </w:p>
          <w:p>
            <w:pPr>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若采用现金或支票时，必须从投标人的基本账户开户银行一次性汇入以下账号：</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保证金收款人银行信息如下：</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szCs w:val="21"/>
                <w:highlight w:val="none"/>
              </w:rPr>
              <w:t xml:space="preserve"> </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行：</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szCs w:val="21"/>
                <w:highlight w:val="none"/>
              </w:rPr>
              <w:t xml:space="preserve"> </w:t>
            </w:r>
          </w:p>
          <w:p>
            <w:pPr>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szCs w:val="21"/>
                <w:highlight w:val="none"/>
              </w:rPr>
              <w:t xml:space="preserve"> </w:t>
            </w:r>
          </w:p>
          <w:p>
            <w:pPr>
              <w:pStyle w:val="20"/>
              <w:ind w:firstLine="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pacing w:val="0"/>
                <w:kern w:val="2"/>
                <w:sz w:val="21"/>
                <w:szCs w:val="21"/>
                <w:highlight w:val="none"/>
              </w:rPr>
              <w:t>若采用银行保函时，出具保函的银行级别：必须由投标人的基本账户开户银行开具，若基本账户开户银行不能开具，可由上级银行开具并附相关证明材料，否则视为无效。其扫描件应装订在投标文件中，</w:t>
            </w:r>
            <w:r>
              <w:rPr>
                <w:rFonts w:hint="eastAsia" w:ascii="仿宋_GB2312" w:hAnsi="仿宋_GB2312" w:eastAsia="仿宋_GB2312" w:cs="仿宋_GB2312"/>
                <w:b/>
                <w:bCs/>
                <w:color w:val="auto"/>
                <w:spacing w:val="0"/>
                <w:kern w:val="2"/>
                <w:sz w:val="21"/>
                <w:szCs w:val="21"/>
                <w:highlight w:val="none"/>
              </w:rPr>
              <w:t>原件应派专人在递交投标文件截止时间前送达并密封提交给招标人</w:t>
            </w:r>
            <w:r>
              <w:rPr>
                <w:rFonts w:hint="eastAsia" w:ascii="仿宋_GB2312" w:hAnsi="仿宋_GB2312" w:eastAsia="仿宋_GB2312" w:cs="仿宋_GB2312"/>
                <w:color w:val="auto"/>
                <w:spacing w:val="0"/>
                <w:kern w:val="2"/>
                <w:sz w:val="21"/>
                <w:szCs w:val="21"/>
                <w:highlight w:val="none"/>
              </w:rPr>
              <w:t>。</w:t>
            </w:r>
          </w:p>
          <w:p>
            <w:pPr>
              <w:pStyle w:val="21"/>
              <w:rPr>
                <w:color w:val="auto"/>
                <w:highlight w:val="none"/>
              </w:rPr>
            </w:pPr>
            <w:r>
              <w:rPr>
                <w:rFonts w:hint="eastAsia" w:ascii="仿宋_GB2312" w:hAnsi="仿宋_GB2312" w:eastAsia="仿宋_GB2312" w:cs="仿宋_GB2312"/>
                <w:color w:val="auto"/>
                <w:szCs w:val="21"/>
                <w:highlight w:val="none"/>
              </w:rPr>
              <w:t>若采用担保机构的保函或保险机构的保单时，其扫描件应装订在投标文件中，</w:t>
            </w:r>
            <w:r>
              <w:rPr>
                <w:rFonts w:hint="eastAsia" w:ascii="仿宋_GB2312" w:hAnsi="仿宋_GB2312" w:eastAsia="仿宋_GB2312" w:cs="仿宋_GB2312"/>
                <w:b/>
                <w:bCs/>
                <w:color w:val="auto"/>
                <w:szCs w:val="21"/>
                <w:highlight w:val="none"/>
              </w:rPr>
              <w:t>原件应派专人在递交投标文件截止时间前送达并密封提交给招标人</w:t>
            </w:r>
            <w:r>
              <w:rPr>
                <w:rFonts w:hint="eastAsia" w:ascii="仿宋_GB2312" w:hAnsi="仿宋_GB2312" w:eastAsia="仿宋_GB2312" w:cs="仿宋_GB2312"/>
                <w:color w:val="auto"/>
                <w:szCs w:val="21"/>
                <w:highlight w:val="none"/>
              </w:rPr>
              <w:t>。</w:t>
            </w:r>
          </w:p>
          <w:p>
            <w:pPr>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4.其它：</w:t>
            </w:r>
            <w:r>
              <w:rPr>
                <w:rFonts w:hint="eastAsia" w:ascii="仿宋_GB2312" w:hAnsi="仿宋_GB2312" w:eastAsia="仿宋_GB2312" w:cs="仿宋_GB2312"/>
                <w:color w:val="auto"/>
                <w:szCs w:val="21"/>
                <w:highlight w:val="none"/>
                <w:u w:val="single"/>
              </w:rPr>
              <w:t xml:space="preserve">  / 。 </w:t>
            </w:r>
          </w:p>
          <w:p>
            <w:pPr>
              <w:rPr>
                <w:rFonts w:ascii="仿宋_GB2312" w:hAnsi="仿宋_GB2312" w:eastAsia="仿宋_GB2312" w:cs="仿宋_GB2312"/>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16.1</w:t>
            </w:r>
          </w:p>
        </w:tc>
        <w:tc>
          <w:tcPr>
            <w:tcW w:w="1562" w:type="dxa"/>
            <w:tcBorders>
              <w:tl2br w:val="nil"/>
              <w:tr2bl w:val="nil"/>
            </w:tcBorders>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投标有效期</w:t>
            </w:r>
          </w:p>
        </w:tc>
        <w:tc>
          <w:tcPr>
            <w:tcW w:w="6173" w:type="dxa"/>
            <w:tcBorders>
              <w:tl2br w:val="nil"/>
              <w:tr2bl w:val="nil"/>
            </w:tcBorders>
            <w:vAlign w:val="center"/>
          </w:tcPr>
          <w:p>
            <w:pPr>
              <w:pStyle w:val="5"/>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90  </w:t>
            </w:r>
            <w:r>
              <w:rPr>
                <w:rFonts w:hint="eastAsia" w:ascii="仿宋_GB2312" w:hAnsi="仿宋_GB2312" w:eastAsia="仿宋_GB2312" w:cs="仿宋_GB2312"/>
                <w:color w:val="auto"/>
                <w:kern w:val="0"/>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投标文件份数</w:t>
            </w:r>
          </w:p>
        </w:tc>
        <w:tc>
          <w:tcPr>
            <w:tcW w:w="6173" w:type="dxa"/>
            <w:tcBorders>
              <w:tl2br w:val="nil"/>
              <w:tr2bl w:val="nil"/>
            </w:tcBorders>
            <w:vAlign w:val="center"/>
          </w:tcPr>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本项目应当在线提交电子投标文件。</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递交地点：肇庆交通集团电子采购平台。</w:t>
            </w:r>
          </w:p>
          <w:p>
            <w:pPr>
              <w:pStyle w:val="20"/>
              <w:ind w:firstLine="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pacing w:val="0"/>
                <w:kern w:val="2"/>
                <w:sz w:val="21"/>
                <w:szCs w:val="21"/>
                <w:highlight w:val="none"/>
              </w:rPr>
              <w:t>上传的电子投标文件与递交的纸质投标文件不一致的，以电子投标文件为准。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递交投标文件截止时间、地点：</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投标文件开启会时间、地点：</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22.2</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评审小组组成</w:t>
            </w:r>
          </w:p>
        </w:tc>
        <w:tc>
          <w:tcPr>
            <w:tcW w:w="6173" w:type="dxa"/>
            <w:tcBorders>
              <w:tl2br w:val="nil"/>
              <w:tr2bl w:val="nil"/>
            </w:tcBorders>
            <w:vAlign w:val="center"/>
          </w:tcPr>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评审小组由招标人代表</w:t>
            </w:r>
            <w:r>
              <w:rPr>
                <w:rFonts w:hint="eastAsia" w:ascii="仿宋_GB2312" w:hAnsi="仿宋_GB2312" w:eastAsia="仿宋_GB2312" w:cs="仿宋_GB2312"/>
                <w:color w:val="auto"/>
                <w:szCs w:val="21"/>
                <w:highlight w:val="none"/>
                <w:u w:val="single"/>
              </w:rPr>
              <w:t xml:space="preserve"> 1 </w:t>
            </w:r>
            <w:r>
              <w:rPr>
                <w:rFonts w:hint="eastAsia" w:ascii="仿宋_GB2312" w:hAnsi="仿宋_GB2312" w:eastAsia="仿宋_GB2312" w:cs="仿宋_GB2312"/>
                <w:color w:val="auto"/>
                <w:szCs w:val="21"/>
                <w:highlight w:val="none"/>
              </w:rPr>
              <w:t>人，评审专家</w:t>
            </w:r>
            <w:r>
              <w:rPr>
                <w:rFonts w:hint="eastAsia" w:ascii="仿宋_GB2312" w:hAnsi="仿宋_GB2312" w:eastAsia="仿宋_GB2312" w:cs="仿宋_GB2312"/>
                <w:color w:val="auto"/>
                <w:szCs w:val="21"/>
                <w:highlight w:val="none"/>
                <w:u w:val="single"/>
              </w:rPr>
              <w:t xml:space="preserve"> 4 </w:t>
            </w:r>
            <w:r>
              <w:rPr>
                <w:rFonts w:hint="eastAsia" w:ascii="仿宋_GB2312" w:hAnsi="仿宋_GB2312" w:eastAsia="仿宋_GB2312" w:cs="仿宋_GB2312"/>
                <w:color w:val="auto"/>
                <w:szCs w:val="21"/>
                <w:highlight w:val="none"/>
              </w:rPr>
              <w:t>人，共</w:t>
            </w:r>
            <w:r>
              <w:rPr>
                <w:rFonts w:hint="eastAsia" w:ascii="仿宋_GB2312" w:hAnsi="仿宋_GB2312" w:eastAsia="仿宋_GB2312" w:cs="仿宋_GB2312"/>
                <w:color w:val="auto"/>
                <w:szCs w:val="21"/>
                <w:highlight w:val="none"/>
                <w:u w:val="single"/>
              </w:rPr>
              <w:t xml:space="preserve"> 5 </w:t>
            </w:r>
            <w:r>
              <w:rPr>
                <w:rFonts w:hint="eastAsia" w:ascii="仿宋_GB2312" w:hAnsi="仿宋_GB2312" w:eastAsia="仿宋_GB2312" w:cs="仿宋_GB2312"/>
                <w:color w:val="auto"/>
                <w:szCs w:val="21"/>
                <w:highlight w:val="none"/>
              </w:rPr>
              <w:t>人组成。</w:t>
            </w:r>
          </w:p>
          <w:p>
            <w:pPr>
              <w:pStyle w:val="13"/>
              <w:ind w:firstLine="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评审专家从肇庆市交通集团有限公司</w:t>
            </w:r>
            <w:r>
              <w:rPr>
                <w:rFonts w:hint="eastAsia" w:ascii="仿宋_GB2312" w:hAnsi="仿宋_GB2312" w:eastAsia="仿宋_GB2312" w:cs="仿宋_GB2312"/>
                <w:b/>
                <w:bCs/>
                <w:color w:val="auto"/>
                <w:szCs w:val="21"/>
                <w:highlight w:val="none"/>
              </w:rPr>
              <w:t>综合类</w:t>
            </w:r>
            <w:r>
              <w:rPr>
                <w:rFonts w:hint="eastAsia" w:ascii="仿宋_GB2312" w:hAnsi="仿宋_GB2312" w:eastAsia="仿宋_GB2312" w:cs="仿宋_GB2312"/>
                <w:color w:val="auto"/>
                <w:szCs w:val="21"/>
                <w:highlight w:val="none"/>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27.1</w:t>
            </w:r>
          </w:p>
        </w:tc>
        <w:tc>
          <w:tcPr>
            <w:tcW w:w="1562" w:type="dxa"/>
            <w:tcBorders>
              <w:tl2br w:val="nil"/>
              <w:tr2bl w:val="nil"/>
            </w:tcBorders>
            <w:vAlign w:val="center"/>
          </w:tcPr>
          <w:p>
            <w:pPr>
              <w:widowControl/>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评审方法</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最低评标价法</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推荐中标候选人的数量</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u w:val="single"/>
              </w:rPr>
              <w:t xml:space="preserve"> 3 </w:t>
            </w:r>
            <w:r>
              <w:rPr>
                <w:rFonts w:hint="eastAsia" w:ascii="仿宋_GB2312" w:hAnsi="仿宋_GB2312" w:eastAsia="仿宋_GB2312" w:cs="仿宋_GB2312"/>
                <w:color w:val="auto"/>
                <w:kern w:val="0"/>
                <w:szCs w:val="21"/>
                <w:highlight w:val="none"/>
              </w:rPr>
              <w:t>家/标段。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确定中标人的方式</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中标人数量：</w:t>
            </w:r>
            <w:r>
              <w:rPr>
                <w:rFonts w:hint="eastAsia" w:ascii="仿宋_GB2312" w:hAnsi="仿宋_GB2312" w:eastAsia="仿宋_GB2312" w:cs="仿宋_GB2312"/>
                <w:color w:val="auto"/>
                <w:kern w:val="0"/>
                <w:szCs w:val="21"/>
                <w:highlight w:val="none"/>
                <w:u w:val="single"/>
              </w:rPr>
              <w:t xml:space="preserve"> 1 </w:t>
            </w:r>
            <w:r>
              <w:rPr>
                <w:rFonts w:hint="eastAsia" w:ascii="仿宋_GB2312" w:hAnsi="仿宋_GB2312" w:eastAsia="仿宋_GB2312" w:cs="仿宋_GB2312"/>
                <w:color w:val="auto"/>
                <w:kern w:val="0"/>
                <w:szCs w:val="21"/>
                <w:highlight w:val="none"/>
              </w:rPr>
              <w:t>家</w:t>
            </w:r>
          </w:p>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A3"/>
            </w:r>
            <w:r>
              <w:rPr>
                <w:rFonts w:hint="eastAsia" w:ascii="仿宋_GB2312" w:hAnsi="仿宋_GB2312" w:eastAsia="仿宋_GB2312" w:cs="仿宋_GB2312"/>
                <w:color w:val="auto"/>
                <w:kern w:val="0"/>
                <w:szCs w:val="21"/>
                <w:highlight w:val="none"/>
              </w:rPr>
              <w:t>招标人委托评审小组直接确定中标人</w:t>
            </w:r>
          </w:p>
          <w:p>
            <w:pPr>
              <w:widowControl/>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招标人确定中标人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35.1</w:t>
            </w:r>
          </w:p>
        </w:tc>
        <w:tc>
          <w:tcPr>
            <w:tcW w:w="1562" w:type="dxa"/>
            <w:tcBorders>
              <w:tl2br w:val="nil"/>
              <w:tr2bl w:val="nil"/>
            </w:tcBorders>
            <w:vAlign w:val="center"/>
          </w:tcPr>
          <w:p>
            <w:pPr>
              <w:shd w:val="clear" w:color="auto" w:fill="FFFFFF"/>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履约保证金</w:t>
            </w:r>
          </w:p>
        </w:tc>
        <w:tc>
          <w:tcPr>
            <w:tcW w:w="6173" w:type="dxa"/>
            <w:tcBorders>
              <w:tl2br w:val="nil"/>
              <w:tr2bl w:val="nil"/>
            </w:tcBorders>
            <w:vAlign w:val="center"/>
          </w:tcPr>
          <w:p>
            <w:pPr>
              <w:widowControl/>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sym w:font="Wingdings 2" w:char="0052"/>
            </w:r>
            <w:r>
              <w:rPr>
                <w:rFonts w:hint="eastAsia" w:ascii="仿宋_GB2312" w:hAnsi="仿宋_GB2312" w:eastAsia="仿宋_GB2312" w:cs="仿宋_GB2312"/>
                <w:color w:val="auto"/>
                <w:kern w:val="0"/>
                <w:szCs w:val="21"/>
                <w:highlight w:val="none"/>
              </w:rPr>
              <w:t>本项目不收取履约保证金</w:t>
            </w:r>
          </w:p>
          <w:p>
            <w:pPr>
              <w:shd w:val="clear" w:color="auto" w:fill="FFFFFF"/>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2" w:char="00A3"/>
            </w:r>
            <w:r>
              <w:rPr>
                <w:rFonts w:hint="eastAsia" w:ascii="仿宋_GB2312" w:hAnsi="仿宋_GB2312" w:eastAsia="仿宋_GB2312" w:cs="仿宋_GB2312"/>
                <w:color w:val="auto"/>
                <w:szCs w:val="21"/>
                <w:highlight w:val="none"/>
              </w:rPr>
              <w:t>本项目收取履约保证金</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履约保证金金额：</w:t>
            </w:r>
            <w:r>
              <w:rPr>
                <w:rFonts w:hint="eastAsia" w:ascii="仿宋_GB2312" w:hAnsi="仿宋_GB2312" w:eastAsia="仿宋_GB2312" w:cs="仿宋_GB2312"/>
                <w:color w:val="auto"/>
                <w:kern w:val="0"/>
                <w:szCs w:val="21"/>
                <w:highlight w:val="none"/>
              </w:rPr>
              <w:t>合同价的</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kern w:val="0"/>
                <w:szCs w:val="21"/>
                <w:highlight w:val="none"/>
              </w:rPr>
              <w:t>。</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履约保证金递交时间：</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kern w:val="0"/>
                <w:szCs w:val="21"/>
                <w:highlight w:val="none"/>
                <w:u w:val="single"/>
                <w:lang w:val="en-US" w:eastAsia="zh-CN"/>
              </w:rPr>
              <w:t>/</w:t>
            </w:r>
            <w:r>
              <w:rPr>
                <w:rFonts w:hint="eastAsia" w:ascii="仿宋_GB2312" w:hAnsi="仿宋_GB2312" w:eastAsia="仿宋_GB2312" w:cs="仿宋_GB2312"/>
                <w:color w:val="auto"/>
                <w:kern w:val="0"/>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hd w:val="clear" w:color="auto" w:fill="FFFFFF"/>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履约保证金递交方式：□保函   □支票  □电汇</w:t>
            </w:r>
          </w:p>
          <w:p>
            <w:pPr>
              <w:shd w:val="clear" w:color="auto" w:fill="FFFFFF"/>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账户信息：</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开 户 名：</w:t>
            </w:r>
            <w:r>
              <w:rPr>
                <w:rFonts w:hint="eastAsia" w:ascii="仿宋_GB2312" w:hAnsi="仿宋_GB2312" w:eastAsia="仿宋_GB2312" w:cs="仿宋_GB2312"/>
                <w:color w:val="auto"/>
                <w:kern w:val="0"/>
                <w:szCs w:val="21"/>
                <w:highlight w:val="none"/>
                <w:u w:val="single"/>
              </w:rPr>
              <w:t>/</w:t>
            </w:r>
            <w:r>
              <w:rPr>
                <w:rFonts w:hint="eastAsia" w:ascii="仿宋_GB2312" w:hAnsi="仿宋_GB2312" w:eastAsia="仿宋_GB2312" w:cs="仿宋_GB2312"/>
                <w:color w:val="auto"/>
                <w:szCs w:val="21"/>
                <w:highlight w:val="none"/>
              </w:rPr>
              <w:t xml:space="preserve"> </w:t>
            </w:r>
          </w:p>
          <w:p>
            <w:p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 户 行：</w:t>
            </w:r>
            <w:r>
              <w:rPr>
                <w:rFonts w:hint="eastAsia" w:ascii="仿宋_GB2312" w:hAnsi="仿宋_GB2312" w:eastAsia="仿宋_GB2312" w:cs="仿宋_GB2312"/>
                <w:color w:val="auto"/>
                <w:kern w:val="0"/>
                <w:szCs w:val="21"/>
                <w:highlight w:val="none"/>
                <w:u w:val="single"/>
              </w:rPr>
              <w:t>/</w:t>
            </w:r>
            <w:r>
              <w:rPr>
                <w:rFonts w:hint="eastAsia" w:ascii="仿宋_GB2312" w:hAnsi="仿宋_GB2312" w:eastAsia="仿宋_GB2312" w:cs="仿宋_GB2312"/>
                <w:color w:val="auto"/>
                <w:szCs w:val="21"/>
                <w:highlight w:val="none"/>
              </w:rPr>
              <w:t xml:space="preserve"> </w:t>
            </w:r>
          </w:p>
          <w:p>
            <w:pPr>
              <w:ind w:firstLine="42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kern w:val="0"/>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38.3</w:t>
            </w:r>
          </w:p>
        </w:tc>
        <w:tc>
          <w:tcPr>
            <w:tcW w:w="1562" w:type="dxa"/>
            <w:tcBorders>
              <w:tl2br w:val="nil"/>
              <w:tr2bl w:val="nil"/>
            </w:tcBorders>
            <w:vAlign w:val="center"/>
          </w:tcPr>
          <w:p>
            <w:pPr>
              <w:widowControl/>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质疑</w:t>
            </w:r>
          </w:p>
        </w:tc>
        <w:tc>
          <w:tcPr>
            <w:tcW w:w="6173" w:type="dxa"/>
            <w:tcBorders>
              <w:tl2br w:val="nil"/>
              <w:tr2bl w:val="nil"/>
            </w:tcBorders>
            <w:vAlign w:val="center"/>
          </w:tcPr>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一、投标人认为自己的权益受到损害的，可以在知道或者应知其权益受到损害之日起七个工作日内，向招标人提出质疑。</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1.接收质疑函的方式：接收加盖单位公章的书面质疑函</w:t>
            </w:r>
          </w:p>
          <w:p>
            <w:pPr>
              <w:widowControl/>
              <w:ind w:firstLine="420" w:firstLineChars="200"/>
              <w:rPr>
                <w:rFonts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联系单位：</w:t>
            </w:r>
            <w:r>
              <w:rPr>
                <w:rFonts w:hint="eastAsia" w:ascii="仿宋_GB2312" w:hAnsi="仿宋_GB2312" w:eastAsia="仿宋_GB2312" w:cs="仿宋_GB2312"/>
                <w:color w:val="auto"/>
                <w:kern w:val="0"/>
                <w:szCs w:val="21"/>
                <w:highlight w:val="none"/>
                <w:u w:val="single"/>
              </w:rPr>
              <w:t>肇庆交投孔湾港务有限公司</w:t>
            </w:r>
          </w:p>
          <w:p>
            <w:pPr>
              <w:widowControl/>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联 系 人：</w:t>
            </w:r>
            <w:r>
              <w:rPr>
                <w:rFonts w:hint="eastAsia" w:ascii="仿宋_GB2312" w:hAnsi="仿宋_GB2312" w:eastAsia="仿宋_GB2312" w:cs="仿宋_GB2312"/>
                <w:color w:val="auto"/>
                <w:kern w:val="0"/>
                <w:szCs w:val="21"/>
                <w:highlight w:val="none"/>
                <w:u w:val="single"/>
                <w:lang w:eastAsia="zh-CN"/>
              </w:rPr>
              <w:t>余先生</w:t>
            </w:r>
          </w:p>
          <w:p>
            <w:pPr>
              <w:widowControl/>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联系电话：</w:t>
            </w:r>
            <w:r>
              <w:rPr>
                <w:rFonts w:hint="eastAsia" w:ascii="仿宋_GB2312" w:hAnsi="仿宋_GB2312" w:eastAsia="仿宋_GB2312" w:cs="仿宋_GB2312"/>
                <w:color w:val="auto"/>
                <w:kern w:val="0"/>
                <w:szCs w:val="21"/>
                <w:highlight w:val="none"/>
                <w:u w:val="single"/>
                <w:lang w:eastAsia="zh-CN"/>
              </w:rPr>
              <w:t>13073707760</w:t>
            </w:r>
          </w:p>
          <w:p>
            <w:pPr>
              <w:widowControl/>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通讯地址：</w:t>
            </w:r>
            <w:r>
              <w:rPr>
                <w:rFonts w:hint="eastAsia" w:ascii="仿宋_GB2312" w:hAnsi="仿宋_GB2312" w:eastAsia="仿宋_GB2312" w:cs="仿宋_GB2312"/>
                <w:color w:val="auto"/>
                <w:kern w:val="0"/>
                <w:szCs w:val="21"/>
                <w:highlight w:val="none"/>
                <w:u w:val="single"/>
              </w:rPr>
              <w:t>肇庆市端州区站前西路肇庆市交通集团</w:t>
            </w:r>
          </w:p>
          <w:p>
            <w:pPr>
              <w:widowControl/>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2.质疑函的内容、格式：质疑须以书面形式提出，列明质疑事项及相关依据，联系人、联系电话、传真、详细地址、邮编等基本信息并加盖公章。格式自拟。</w:t>
            </w:r>
          </w:p>
          <w:p>
            <w:pPr>
              <w:pStyle w:val="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二、投标人应在质疑期内一次性针对同一采购程序环节提出质疑，否则针对再次提出质疑将不予接收。（采购程序环节分为：招标公告、招标文件、招标过程、中标结果）</w:t>
            </w:r>
          </w:p>
          <w:p>
            <w:pPr>
              <w:pStyle w:val="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三、监督机构：肇庆市交通集团有限公司纪检监察室</w:t>
            </w:r>
          </w:p>
          <w:p>
            <w:pPr>
              <w:pStyle w:val="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监督电话：0758-2909855</w:t>
            </w:r>
          </w:p>
        </w:tc>
      </w:tr>
    </w:tbl>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注：表格中“</w:t>
      </w:r>
      <w:r>
        <w:rPr>
          <w:rFonts w:hint="eastAsia" w:ascii="仿宋_GB2312" w:hAnsi="仿宋_GB2312" w:eastAsia="仿宋_GB2312" w:cs="仿宋_GB2312"/>
          <w:color w:val="auto"/>
          <w:highlight w:val="none"/>
        </w:rPr>
        <w:sym w:font="Wingdings 2" w:char="0052"/>
      </w:r>
      <w:r>
        <w:rPr>
          <w:rFonts w:hint="eastAsia" w:ascii="仿宋_GB2312" w:hAnsi="仿宋_GB2312" w:eastAsia="仿宋_GB2312" w:cs="仿宋_GB2312"/>
          <w:color w:val="auto"/>
          <w:highlight w:val="none"/>
        </w:rPr>
        <w:t>”项或“■”项为被选中项。</w:t>
      </w:r>
    </w:p>
    <w:p>
      <w:pPr>
        <w:pStyle w:val="3"/>
        <w:adjustRightInd w:val="0"/>
        <w:snapToGrid w:val="0"/>
        <w:spacing w:before="0" w:after="0"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1"/>
          <w:szCs w:val="21"/>
          <w:highlight w:val="none"/>
        </w:rPr>
        <w:br w:type="page"/>
      </w:r>
      <w:r>
        <w:rPr>
          <w:rFonts w:hint="eastAsia" w:ascii="仿宋_GB2312" w:hAnsi="仿宋_GB2312" w:eastAsia="仿宋_GB2312" w:cs="仿宋_GB2312"/>
          <w:color w:val="auto"/>
          <w:sz w:val="28"/>
          <w:szCs w:val="28"/>
          <w:highlight w:val="none"/>
        </w:rPr>
        <w:t>二 总则</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1.招标人及投标人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1.1</w:t>
      </w:r>
      <w:r>
        <w:rPr>
          <w:rFonts w:hint="eastAsia" w:ascii="仿宋_GB2312" w:hAnsi="仿宋_GB2312" w:eastAsia="仿宋_GB2312" w:cs="仿宋_GB2312"/>
          <w:color w:val="auto"/>
          <w:szCs w:val="21"/>
          <w:highlight w:val="none"/>
        </w:rPr>
        <w:t>招标人：本项目招标人见投标人须知表1.1款。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1.2</w:t>
      </w:r>
      <w:r>
        <w:rPr>
          <w:rFonts w:hint="eastAsia" w:ascii="仿宋_GB2312" w:hAnsi="仿宋_GB2312" w:eastAsia="仿宋_GB2312" w:cs="仿宋_GB2312"/>
          <w:color w:val="auto"/>
          <w:szCs w:val="21"/>
          <w:highlight w:val="none"/>
        </w:rPr>
        <w:t>投标人：是指向招标人提供货物、工程或者服务的法人。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1.2.1本项目的投标人须满足的资格要求：见招标公告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1.2.2本项目的投标人不得存在的情形：见招标公告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1.2.3对投标人的其他资格要求见投标人须知表1.2.3款。</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1.2.4以招标人认可的方式获得了本项目的招标文件。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1.3</w:t>
      </w:r>
      <w:r>
        <w:rPr>
          <w:rFonts w:hint="eastAsia" w:ascii="仿宋_GB2312" w:hAnsi="仿宋_GB2312" w:eastAsia="仿宋_GB2312" w:cs="仿宋_GB2312"/>
          <w:color w:val="auto"/>
          <w:szCs w:val="21"/>
          <w:highlight w:val="none"/>
        </w:rPr>
        <w:t>如投标人须知表1.3款中允许联合体参加招标活动的，对联合体规定如下：</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1.3.1两个以上投标人可以组成一个联合体，以一个投标人的身份参加招标活动。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1.3.2联合体各方均应符合本总则1.2.1款和1.2.2款规定的条件。</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1.3.3联合体各方应签订共同参加招标活动协议，明确约定联合体各方承担的工作和相应的责任。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1.3.4联合体中有同类资质的投标人按照联合体分工承担相同工作的，按照较低的资质等级确定联合体的资质等级。</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1.3.5以联合体形式参加招标活动的，联合体各方不得再单独参加或者与其他投标人另外组成联合体参加本项目招标活动，否则投标文件将被认定为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（1）两个以上的法人或者其他组织可以组成一个联合体，以一个投标人的身份共同参加招标活动。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（2）联合体中标的，联合体各方应共同与招标人签订合同，就合同约定的事项对招标人承担连带责任。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1.3.6对联合体参加招标活动的其他资格要求见投标人须知表1.3.6款。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1.4</w:t>
      </w:r>
      <w:r>
        <w:rPr>
          <w:rFonts w:hint="eastAsia" w:ascii="仿宋_GB2312" w:hAnsi="仿宋_GB2312" w:eastAsia="仿宋_GB2312" w:cs="仿宋_GB2312"/>
          <w:color w:val="auto"/>
          <w:szCs w:val="21"/>
          <w:highlight w:val="none"/>
        </w:rPr>
        <w:t>投标人在招标过程中不得向招标人提供、给予任何有价值的物品，影响其正常决策行为。</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2.资金来源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2.1本项目的招标人已获得足以支付本次招标活动后所签订的合同项下的资金。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2.2项目标段最高限价见投标人须知表2.2款。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2.3投标人报价超过招标文件规定的该标段最高限价的，其投标文件将被认定为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6" w:name="_Toc266951048"/>
      <w:r>
        <w:rPr>
          <w:rFonts w:hint="eastAsia" w:ascii="仿宋_GB2312" w:hAnsi="仿宋_GB2312" w:eastAsia="仿宋_GB2312" w:cs="仿宋_GB2312"/>
          <w:b/>
          <w:bCs/>
          <w:color w:val="auto"/>
          <w:szCs w:val="21"/>
          <w:highlight w:val="none"/>
        </w:rPr>
        <w:t>3.语言文字</w:t>
      </w:r>
      <w:bookmarkEnd w:id="6"/>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除专用术语外，与询价响应有关的语言均使用中文。必要时专用术语应附有中文注释。对不同文字文本投标文件的解释发生异议的，以中文文本为准。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auto"/>
          <w:szCs w:val="21"/>
          <w:highlight w:val="none"/>
        </w:rPr>
      </w:pPr>
      <w:bookmarkStart w:id="7" w:name="_1.8_计量单位"/>
      <w:bookmarkEnd w:id="7"/>
      <w:bookmarkStart w:id="8" w:name="_Toc266951049"/>
      <w:r>
        <w:rPr>
          <w:rFonts w:hint="eastAsia" w:ascii="仿宋_GB2312" w:hAnsi="仿宋_GB2312" w:eastAsia="仿宋_GB2312" w:cs="仿宋_GB2312"/>
          <w:b/>
          <w:bCs/>
          <w:color w:val="auto"/>
          <w:szCs w:val="21"/>
          <w:highlight w:val="none"/>
        </w:rPr>
        <w:t>4.计量单位</w:t>
      </w:r>
      <w:bookmarkEnd w:id="8"/>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5.投标费用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不论投标的结果如何，投标人应承担所有与本次招标活动有关的费用。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6.现场考察、询价前答疑会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_GB2312" w:eastAsia="仿宋_GB2312" w:cs="仿宋_GB2312"/>
          <w:color w:val="auto"/>
          <w:szCs w:val="21"/>
          <w:highlight w:val="none"/>
        </w:rPr>
        <w:t>投标人须知表</w:t>
      </w:r>
      <w:r>
        <w:rPr>
          <w:rFonts w:hint="eastAsia"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6.1款规定组织现场考察或答疑会的，招标人按规定的时间、地点组织投标人现场考察或答疑会，或者在招标文件规定的时间内以书面形式通知所有获取招标文件的潜在投标人。</w:t>
      </w:r>
    </w:p>
    <w:p>
      <w:pPr>
        <w:adjustRightInd w:val="0"/>
        <w:snapToGrid w:val="0"/>
        <w:spacing w:line="360" w:lineRule="auto"/>
        <w:rPr>
          <w:rFonts w:ascii="仿宋_GB2312" w:hAnsi="仿宋_GB2312" w:eastAsia="仿宋_GB2312" w:cs="仿宋_GB2312"/>
          <w:b/>
          <w:bCs/>
          <w:color w:val="auto"/>
          <w:szCs w:val="21"/>
          <w:highlight w:val="none"/>
        </w:rPr>
      </w:pPr>
      <w:bookmarkStart w:id="9" w:name="_1.10_投标预备会"/>
      <w:bookmarkEnd w:id="9"/>
      <w:r>
        <w:rPr>
          <w:rFonts w:hint="eastAsia" w:ascii="仿宋_GB2312" w:hAnsi="仿宋_GB2312" w:eastAsia="仿宋_GB2312" w:cs="仿宋_GB2312"/>
          <w:color w:val="auto"/>
          <w:szCs w:val="21"/>
          <w:highlight w:val="none"/>
        </w:rPr>
        <w:t>6.2</w:t>
      </w:r>
      <w:r>
        <w:rPr>
          <w:rFonts w:hint="eastAsia" w:ascii="仿宋_GB2312" w:hAnsi="仿宋_GB2312" w:eastAsia="仿宋_GB2312" w:cs="仿宋_GB2312"/>
          <w:color w:val="auto"/>
          <w:kern w:val="0"/>
          <w:szCs w:val="21"/>
          <w:highlight w:val="none"/>
        </w:rPr>
        <w:t>由于未参加现场考察或答疑会而导致对项目实际情况不了解，影响技术文件编制、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_GB2312" w:eastAsia="仿宋_GB2312" w:cs="仿宋_GB2312"/>
          <w:color w:val="auto"/>
          <w:kern w:val="0"/>
          <w:szCs w:val="21"/>
          <w:highlight w:val="none"/>
        </w:rPr>
        <w:t>投标报价</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6.3现场考察及参加答疑会所发生的费用及一切责任由投标人自行承担。</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7.分包</w:t>
      </w:r>
    </w:p>
    <w:p>
      <w:pPr>
        <w:pStyle w:val="20"/>
        <w:ind w:firstLine="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7.1投标人在中标后将所取得项目的部分非主体、非关键性工作进行分包的，应符合以下规定：</w:t>
      </w:r>
    </w:p>
    <w:p>
      <w:pPr>
        <w:pStyle w:val="2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7.1.1 分包内容要求：招标人允许分包的专项工作（如有）应在投标人须知前附表中载明。</w:t>
      </w:r>
    </w:p>
    <w:p>
      <w:pPr>
        <w:pStyle w:val="2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7.1.2 接受分包的第三人资格要求：分包人的资格能力应与其分包工作的标准和规模相适应，且具备投标人须知前附表中规定的资格条件。</w:t>
      </w:r>
    </w:p>
    <w:p>
      <w:pPr>
        <w:pStyle w:val="21"/>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7.1.3 投标人如有分包计划，应按第六章“投标文件格式”的要求填写“拟分包项目情况表”。</w:t>
      </w:r>
    </w:p>
    <w:p>
      <w:pPr>
        <w:pStyle w:val="21"/>
        <w:ind w:firstLine="0" w:firstLineChars="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7.2 中标人不得向他人转让中标项目，接受分包的人不得再次分包。投标人就分包项目向招标人负责，接受分包的人就分包项目承担连带责任。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8.适用规定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本项目的招标人、投标人、评审小组的相关行为均受肇庆市交通集团有限公司关于采购有关规章制度的约束，其权利受到上述规章制度的保护。</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 招标文件</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9.招标文件构成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9.1招标文件共五章，内容如下:</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第一章 招标公告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第二章 投标人须知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第三章 招标人需求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第四章 评审方法</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第五章 合同条款及格式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第六章 投标文件内容及格式</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9.2投标人应认真阅读招标文件所有的事项、格式、条款等。如投标人没有按照招标文件要求提交资料，或者投标文件没有对招标文件做出实质性响应，可能导致其投标文件被认定为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9.3投标人获取招标文件后,投标人对招标文件提出疑问的，或要求招标人对招标文件进行澄清的，应当在投标文件递交截止之日3日前通过电子采购平台提出。在上述规定的时间之后对招标文件提出的疑问，招标人有权不予受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10.招标文件的澄清与修改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10.1 招标人可以对已发出的招标文件进行必要的澄清或者修改。澄清或者修改的内容可能影响投标文件编制的，应当在提交投标文件截止之日</w:t>
      </w: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color w:val="auto"/>
          <w:szCs w:val="21"/>
          <w:highlight w:val="none"/>
        </w:rPr>
        <w:t>日前，在电子采购平台发出澄清或修改文件，请已获取招标文件的投标人予以注意；不足2日的，应当顺延提交投标文件的截止时间。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10.2澄清或者修改的内容为招标文件的组成部分，对所有招标文件的收受人具有约束力。投标人应通过电子采购平台自行下载澄清文件，无需向招标人回函确认。投标人应注意及时浏览电子采购平台发出的澄清，因投标人自身原因未及时获知澄清内容而导致的任何后果将由投标人自行承担。</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 投标文件的编制</w:t>
      </w:r>
    </w:p>
    <w:p>
      <w:pPr>
        <w:pStyle w:val="5"/>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11.投标范围</w:t>
      </w:r>
    </w:p>
    <w:p>
      <w:pPr>
        <w:pStyle w:val="5"/>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11.1项目有分标段的，投标人可对招标文件其中某一个标段或几个标段进行响应。具体要求详见招标公告。</w:t>
      </w:r>
    </w:p>
    <w:p>
      <w:pPr>
        <w:pStyle w:val="5"/>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11.2投标人应当对所响应标段招标文件中第三章“招标人需求”所列的所有内容进行响应，如仅响应标段中某一部分内容，其该标段投标文件将被认定为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11.3无论招标文件第三章“招标人需求”中是否要求，投标人所响应的货物、服务、工程均应符合国家强制性标准。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12.投标文件构成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12.1投标人应完整地按招标文件提供的投标文件格式及要求编写投标文件。如有必要，可以增加附页，作为投标文件的组成部分。因投标文件内容不完整所造成的损失由投标人承担。具体内容及格式见第六章“投标文件内容及格式”。投标人在评审过程中作出的符合法律法规和招标文件规定的澄清确认，构成投标文件的组成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12.2投标人应按招标文件提供的格式编写投标文件，并对其提交的投标文件的真实性、合法性承担法律责任。招标文件提供标准格式的按标准格式填列，未提供标准格式的可自行拟定。</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13.投标报价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13.1所有响应均按人民币货币进行报价。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 投标价格</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13.2.1货物的投标价格应为该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13.2.2服务的投标价格应为实施和完成该服务的劳务费、技术服务费、仪器设备的使用和管理、保险、成本、利润、税金和按本工程实际需要的加班等一切费用，以及合同明示或暗示的所有责任、义务和一般风险。</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13.2.3工程的投标价格应为实施和完成合同工程所需的劳务、材料、机械、质检(自检)、安装、缺陷修复、管理、保险（含建筑工程一切险及第三者责任险）、税费、利润等费用，以及合同明示或暗示的所有责任、义务和一般风险。</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13.3投标人应按招标文件要求在相关表格中标明货物、服务、工程及伴随服务的单价和总价，并由法定代表人（其他组织的负责人）或其委托代理人签署。</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13.4投标人所报的各分项单价在合同履行过程中是</w:t>
      </w:r>
      <w:r>
        <w:rPr>
          <w:rFonts w:hint="eastAsia" w:ascii="仿宋_GB2312" w:hAnsi="仿宋_GB2312" w:eastAsia="仿宋_GB2312" w:cs="仿宋_GB2312"/>
          <w:b/>
          <w:bCs/>
          <w:color w:val="auto"/>
          <w:szCs w:val="21"/>
          <w:highlight w:val="none"/>
        </w:rPr>
        <w:t>固定不变的</w:t>
      </w:r>
      <w:r>
        <w:rPr>
          <w:rFonts w:hint="eastAsia" w:ascii="仿宋_GB2312" w:hAnsi="仿宋_GB2312" w:eastAsia="仿宋_GB2312" w:cs="仿宋_GB2312"/>
          <w:color w:val="auto"/>
          <w:szCs w:val="21"/>
          <w:highlight w:val="none"/>
        </w:rPr>
        <w:t>，不得以任何理由予以变更。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13.5每个单项（分项）货物、服务、工程只能有一个投标报价。招标人不接受具有附加条件的报价。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13.6除非招标文件另有规定，投标报价原则上精确到</w:t>
      </w:r>
      <w:r>
        <w:rPr>
          <w:rFonts w:hint="eastAsia" w:ascii="仿宋_GB2312" w:hAnsi="仿宋_GB2312" w:eastAsia="仿宋_GB2312" w:cs="仿宋_GB2312"/>
          <w:b/>
          <w:bCs/>
          <w:color w:val="auto"/>
          <w:szCs w:val="21"/>
          <w:highlight w:val="none"/>
        </w:rPr>
        <w:t>小数点后两位</w:t>
      </w:r>
      <w:r>
        <w:rPr>
          <w:rFonts w:hint="eastAsia" w:ascii="仿宋_GB2312" w:hAnsi="仿宋_GB2312" w:eastAsia="仿宋_GB2312" w:cs="仿宋_GB2312"/>
          <w:color w:val="auto"/>
          <w:szCs w:val="21"/>
          <w:highlight w:val="none"/>
        </w:rPr>
        <w:t>。</w:t>
      </w:r>
    </w:p>
    <w:p>
      <w:pPr>
        <w:adjustRightInd w:val="0"/>
        <w:snapToGrid w:val="0"/>
        <w:spacing w:line="360" w:lineRule="auto"/>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14.投标保证金</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14.1投标人应提交投标人须知表14.1款中规定的投标保证金，并作为其投标文件的一部分。</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w:t>
      </w:r>
      <w:r>
        <w:rPr>
          <w:rFonts w:hint="eastAsia" w:ascii="仿宋_GB2312" w:hAnsi="仿宋_GB2312" w:eastAsia="仿宋_GB2312" w:cs="仿宋_GB2312"/>
          <w:b/>
          <w:bCs/>
          <w:color w:val="auto"/>
          <w:szCs w:val="21"/>
          <w:highlight w:val="none"/>
        </w:rPr>
        <w:t>投标人存在下列情形的，投标保证金不予退还:</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（1）投标人在递交投标文件截止时间后撤回投标文件的；</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（2）投标人在投标文件中提供虚假材料的；</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（3）中标后除因不可抗力或者招标文件认可的情形以外，不按本须知第33条的规定与招标人签订合同的；</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（4）中标后不按本须知第34条的规定提交履约保证金的;</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（5）串通投标的；</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（6）因作假而被取消中标资格的；</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（7）因投诉属实被取消中标资格的；</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（8）招标文件规定的其他保证金不予退还情形或存在其他违法违规行为的。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14.4联合体参加招标活动的，可以由联合体中的一方或者共同提交投标保证金。以一方名义提交投标保证金的，对联合体各方均具有约束力。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14.5投标保证金的退还</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14.5.1中标人应在与招标人签订了合同且递交了履约保证金（或履约保函）之日起5个工作日内无息退还，中标人应及时办理投标保证金退还手续。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14.5.2未中标人的投标保证金将在中标通知书发出之日起5个工作日内无息退还。投标人应及时联系保证金收受机构办理退还投标保证金手续。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14.5.3投标人在提交投标文件截止时间前撤回已提交的投标文件的，投标人应自招标人收到投标人书面撤回通知之日起10个工作日内，及时办理投标保证金退还手续。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14.5.4 采用保函的退回必须由提供该保函的投标人出具的收据。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14.6 因投标人自身原因导致无法及时退还的，招标人将不承担相应责任。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15.证明标的的合格性和符合招标文件规定的技术文件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（1）主要技术指标和性能的详细说明；</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（2）从招标人开始使用至合同约定的保质期内正常、连续地使用所必须的备件和专用工具清单，包括备件和专用工具的货源及现行价格（如有）;</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（3）对照招标文件技术规格，逐条说明所提供货物、工程和服务及伴随的附加部分已对招标文件的技术规格做出了实质性的响应，或申明与技术规格条文的偏差和例外。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16.投标有效期</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16.1投标文件应在投标人须知表16.1款中规定的投标有效期内保持有效。投标有效期不满足要求的响应，其投标文件将被认定为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16.2在特殊情况下，招标人可根据实际情况，在原投标有效期截止之前，要求投标人延长投标有效期。接受该要求的投标人将不会被要求和允许修正其投标文件，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17.投标文件的签署及规定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17.1投标人应按投标人须知表17.1款中的规定，准备和递交纸质投标文件正本、副本和电子投标文件。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17.2每份纸质投标文件封皮须清楚地标明“正本”或“副本”。若正本和副本不符，以正本为准。正本一份，副本份数见投标人须知前附表。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17.3投标文件的制作应满足以下规定：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17.3.1 投标文件由投标人使用电子采购平台自带的投标文件/投标文件制作工具制作生成。</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17.3.2 投标人在编制投标文件时应建立分组目录，并按照标签提示导入相关内容。</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17.3.3 投标文件中的报价一览表等数据文件应与招标文件提供的报价一览表等数据文件格式一致。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17.4因投标人自身原因而导致投标文件无法导入电子采购平台电子开标、评标系统，该投标文件视为无效，投标人自行承担由此导致的全部责任和损失。</w:t>
      </w:r>
    </w:p>
    <w:p>
      <w:pPr>
        <w:pStyle w:val="20"/>
        <w:ind w:firstLine="0"/>
        <w:rPr>
          <w:color w:val="auto"/>
          <w:highlight w:val="none"/>
        </w:rPr>
      </w:pPr>
      <w:r>
        <w:rPr>
          <w:rFonts w:hint="eastAsia" w:ascii="仿宋_GB2312" w:hAnsi="仿宋_GB2312" w:eastAsia="仿宋_GB2312" w:cs="仿宋_GB2312"/>
          <w:color w:val="auto"/>
          <w:spacing w:val="0"/>
          <w:kern w:val="2"/>
          <w:sz w:val="21"/>
          <w:szCs w:val="21"/>
          <w:highlight w:val="none"/>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 投标文件的递交</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18.投标文件的密封和标记</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18.1投标人应将纸质投标文件密封，将正本和所有的副本密封，并进行包封。</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18.2所有包装封皮上均应：</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（1）注明项目名称、包号、投标人名称。</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（2）加盖投标人单位公章。</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18.3如果投标人未按上述要求密封，其纸质投标文件将被</w:t>
      </w:r>
      <w:r>
        <w:rPr>
          <w:rFonts w:hint="eastAsia" w:ascii="仿宋_GB2312" w:hAnsi="仿宋_GB2312" w:eastAsia="仿宋_GB2312" w:cs="仿宋_GB2312"/>
          <w:b/>
          <w:bCs/>
          <w:color w:val="auto"/>
          <w:szCs w:val="21"/>
          <w:highlight w:val="none"/>
        </w:rPr>
        <w:t>拒绝接收</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19.递交投标文件的递交</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19.1投标人应在“招标公告”规定的递交投标文件截止时间前，通过电子采购平台将加密的投标文件上传，并保存上传成功后系统自动生存的电子签收凭证，递交时间即为电子签收凭证时间。中标人在收到中标通知书后，签订合同前须向招标人提交与电子文档一致的纸质投标文件一正一副</w:t>
      </w:r>
      <w:r>
        <w:rPr>
          <w:rStyle w:val="19"/>
          <w:rFonts w:hint="eastAsia" w:ascii="仿宋_GB2312" w:hAnsi="仿宋_GB2312" w:eastAsia="仿宋_GB2312" w:cs="仿宋_GB2312"/>
          <w:b/>
          <w:bCs/>
          <w:color w:val="auto"/>
          <w:szCs w:val="21"/>
          <w:highlight w:val="none"/>
        </w:rPr>
        <w:footnoteReference w:id="3"/>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19.2 投标人应充分考虑上传文件时的不可预见因素，未在投标文件递交截止时间前完成电子投标文件上传的，视为逾期送达，招标人（电子采购平台）将拒绝接收。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19.3招标人有权按本须知的规定，延迟递交投标文件截止时间。在此情况下，招标人和投标人受递交投标文件截止时间制约的所有权利和义务均应延长至新的截止时间。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20.投标文件的修改与撤回</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20.1 在本章第18.1款规定的投标文件递交截止时间前，投标人可以修改或撤回已递交投标文件，投标人对加密的投标文件进行撤回的，应在电子采购平台直接进行撤回操作；投标人对加密的投标文件进行修改的，应按本章的规定进行编制、加密和递交，并在投标文件递交截止时间前完成上传。</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20.3在递交投标文件截止时间之后，投标人不得对其投标文件做任何修改。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20.4招标人对所接收的投标文件概不退回。</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 投标文件的评审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21.投标文件开启会议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21.1招标人将按投标人须知表21.1款中规定的时间和地点召开投标文件开启会，公布投标人名称、投标保证金递交情况、解密情况及其他内容，并记录在案。并邀请所有投标人代表参加，投标人代表不参加投标文件开启会的，视为该投标人默认投标文件开启会的结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21.2投标人代表对投标文件开启会过程有疑义，以及认为招标人相关工作人员有需要回避的情形的，应当场提出询问或者回避申请。</w:t>
      </w:r>
    </w:p>
    <w:p>
      <w:pPr>
        <w:pStyle w:val="20"/>
        <w:ind w:firstLine="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21.3 招标人在投标人解密截止时间后，对投标人解密成功的投标文件进行解密。</w:t>
      </w:r>
    </w:p>
    <w:p>
      <w:pPr>
        <w:pStyle w:val="20"/>
        <w:ind w:firstLine="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21.4 若某一标段提交投标文件的投标人不足3家的，不得继续进行下一步。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21.5 在投标文件开启会现场，招标人将按第四章“评审办法”规定的原则计算并宣布评审基准价。若招标人发现投标文件出现下列情况之一的，其投标报价将不再参加评审基准价的计算：</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（1）未在投标函上填写总价或总价大写金额无法确定具体数值的；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（2）投标函中的总报价超出招标人公布的该标段的最高限价的；</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（3）投标函上填写的标段号与投标文件封面上标记的标段号不一致。</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pPr>
        <w:pStyle w:val="21"/>
        <w:spacing w:line="360" w:lineRule="auto"/>
        <w:ind w:firstLine="0" w:firstLineChars="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pPr>
        <w:pStyle w:val="21"/>
        <w:spacing w:line="360" w:lineRule="auto"/>
        <w:ind w:firstLine="0" w:firstLineChars="0"/>
        <w:rPr>
          <w:color w:val="auto"/>
          <w:highlight w:val="none"/>
        </w:rPr>
      </w:pPr>
      <w:r>
        <w:rPr>
          <w:rFonts w:hint="eastAsia" w:ascii="仿宋_GB2312" w:hAnsi="仿宋_GB2312" w:eastAsia="仿宋_GB2312" w:cs="仿宋_GB2312"/>
          <w:color w:val="auto"/>
          <w:szCs w:val="21"/>
          <w:highlight w:val="none"/>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pPr>
        <w:pStyle w:val="8"/>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22.组建评审小组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22.1按照《肇庆市交通集团有限公司采购管理办法》有关规定依规组建评审小组，负责本项目评审工作。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22.2 评审小组由招标人代表和评审专家共5人及以上单数组成。</w:t>
      </w:r>
      <w:r>
        <w:rPr>
          <w:rFonts w:hint="eastAsia" w:ascii="仿宋_GB2312" w:hAnsi="仿宋_GB2312" w:eastAsia="仿宋_GB2312" w:cs="仿宋_GB2312"/>
          <w:color w:val="auto"/>
          <w:szCs w:val="21"/>
          <w:highlight w:val="none"/>
        </w:rPr>
        <w:t>本项目评审小组组成详见投标人须知表21.2款。</w:t>
      </w:r>
    </w:p>
    <w:p>
      <w:pPr>
        <w:pStyle w:val="8"/>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23.资格审查</w:t>
      </w:r>
    </w:p>
    <w:p>
      <w:pPr>
        <w:pStyle w:val="8"/>
        <w:adjustRightInd w:val="0"/>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23.1 评审小组依据法律法规和招标文件中规定的内容，对投标人的资格（提交资格证明材料）进行审查。未通过资格审查的投标人不能进行下一阶段评审，其投标文件将被认定为</w:t>
      </w:r>
      <w:r>
        <w:rPr>
          <w:rFonts w:hint="eastAsia" w:ascii="仿宋_GB2312" w:hAnsi="仿宋_GB2312" w:eastAsia="仿宋_GB2312" w:cs="仿宋_GB2312"/>
          <w:b/>
          <w:bCs/>
          <w:color w:val="auto"/>
          <w:highlight w:val="none"/>
        </w:rPr>
        <w:t>废标</w:t>
      </w:r>
      <w:r>
        <w:rPr>
          <w:rFonts w:hint="eastAsia" w:ascii="仿宋_GB2312" w:hAnsi="仿宋_GB2312" w:eastAsia="仿宋_GB2312" w:cs="仿宋_GB2312"/>
          <w:color w:val="auto"/>
          <w:highlight w:val="none"/>
        </w:rPr>
        <w:t>。通过资格审查的投标人</w:t>
      </w:r>
      <w:r>
        <w:rPr>
          <w:rFonts w:hint="eastAsia" w:ascii="仿宋_GB2312" w:hAnsi="仿宋_GB2312" w:eastAsia="仿宋_GB2312" w:cs="仿宋_GB2312"/>
          <w:b/>
          <w:bCs/>
          <w:color w:val="auto"/>
          <w:highlight w:val="none"/>
        </w:rPr>
        <w:t>不足3家的</w:t>
      </w:r>
      <w:r>
        <w:rPr>
          <w:rFonts w:hint="eastAsia" w:ascii="仿宋_GB2312" w:hAnsi="仿宋_GB2312" w:eastAsia="仿宋_GB2312" w:cs="仿宋_GB2312"/>
          <w:color w:val="auto"/>
          <w:highlight w:val="none"/>
        </w:rPr>
        <w:t>，不得进行符合性审查。</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24.符合性审查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24.1</w:t>
      </w:r>
      <w:r>
        <w:rPr>
          <w:rFonts w:hint="eastAsia" w:ascii="仿宋_GB2312" w:hAnsi="仿宋_GB2312" w:eastAsia="仿宋_GB2312" w:cs="仿宋_GB2312"/>
          <w:color w:val="auto"/>
          <w:szCs w:val="21"/>
          <w:highlight w:val="none"/>
          <w:shd w:val="clear" w:color="auto" w:fill="FFFFFF"/>
        </w:rPr>
        <w:t>符合性审查是指依据招标文件的规定，从投标文件的有效性和完整性对招标文件的响应程度进行审查，以确定是否对招标文件的实质性要求做出响应。</w:t>
      </w:r>
      <w:r>
        <w:rPr>
          <w:rFonts w:hint="eastAsia" w:ascii="仿宋_GB2312" w:hAnsi="仿宋_GB2312" w:eastAsia="仿宋_GB2312" w:cs="仿宋_GB2312"/>
          <w:color w:val="auto"/>
          <w:szCs w:val="21"/>
          <w:highlight w:val="none"/>
        </w:rPr>
        <w:t>投标人应按照第六章“投标文件内容及格式”中的相应要求，提交符合性证明材料。未通过符合性审查的投标人不能进入下一阶段评审，其投标文件将被认定为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；通过符合性审查的投标人数量不</w:t>
      </w:r>
      <w:r>
        <w:rPr>
          <w:rFonts w:hint="eastAsia" w:ascii="仿宋_GB2312" w:hAnsi="仿宋_GB2312" w:eastAsia="仿宋_GB2312" w:cs="仿宋_GB2312"/>
          <w:b/>
          <w:bCs/>
          <w:color w:val="auto"/>
          <w:szCs w:val="21"/>
          <w:highlight w:val="none"/>
        </w:rPr>
        <w:t>足3家</w:t>
      </w:r>
      <w:r>
        <w:rPr>
          <w:rFonts w:hint="eastAsia" w:ascii="仿宋_GB2312" w:hAnsi="仿宋_GB2312" w:eastAsia="仿宋_GB2312" w:cs="仿宋_GB2312"/>
          <w:color w:val="auto"/>
          <w:szCs w:val="21"/>
          <w:highlight w:val="none"/>
        </w:rPr>
        <w:t>的，不得作进一步的比较和评审。</w:t>
      </w:r>
    </w:p>
    <w:p>
      <w:pPr>
        <w:pStyle w:val="8"/>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25.投标文件的澄清</w:t>
      </w:r>
    </w:p>
    <w:p>
      <w:pPr>
        <w:pStyle w:val="8"/>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25.1评审小组可以通过电子采购平台要求投标人对投标文件中含义不明确、同类问题表述不一致或者有明显文字和计算错误的内容等，作出必要的澄清、说明或者更正。投标人的澄清、说明或者更正不得超出投标文件的范围或者改变投标文件的实质性内容。投标人拒不进行澄清、说明、补正的，或者不能在规定时间内作出书面澄清、说明、补正的，其投标文件将被作为废标处理。</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25.1.1投标人的澄清、说明或者补正应当通过电子采购平台以书面形式进行，由其法定代表人或其授权代表签字或加盖公章。</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25.1.2投标人的澄清、说明或补正将作为投标文件的一部分。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25.2投标文件报价出现前后不一致的，按照下列规定修正：</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（1）投标文件中报价一览表内容与投标文件中相应内容不一致的，以报价一览表为准；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同时出现两种以上不一致的，按照前款规定的顺序修正。修正后的报价经投标人确认后产生约束力，投标人不确认的，其投标文件将被认定为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25.3评审小组认为投标人的报价明显低于其他通过符合性审查投标人的报价，有可能影响产品质量或者不能诚信履约的，应当要求该投标人在合理的时间内提供书面说明，必要时提交相关证明材料；投标人不能证明其报价合理性的，评审小组应当将其作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处理。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26.废标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26.1在比较与评审之前，根据本须知的规定，评审小组要审查每份投标文件是否实质上响应了招标文件的要求。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如果投标文件没有对招标文件的实质性要求进行响应，将作为</w:t>
      </w:r>
      <w:r>
        <w:rPr>
          <w:rFonts w:hint="eastAsia" w:ascii="仿宋_GB2312" w:hAnsi="仿宋_GB2312" w:eastAsia="仿宋_GB2312" w:cs="仿宋_GB2312"/>
          <w:b/>
          <w:bCs/>
          <w:color w:val="auto"/>
          <w:szCs w:val="21"/>
          <w:highlight w:val="none"/>
        </w:rPr>
        <w:t>废标</w:t>
      </w:r>
      <w:r>
        <w:rPr>
          <w:rFonts w:hint="eastAsia" w:ascii="仿宋_GB2312" w:hAnsi="仿宋_GB2312" w:eastAsia="仿宋_GB2312" w:cs="仿宋_GB2312"/>
          <w:color w:val="auto"/>
          <w:szCs w:val="21"/>
          <w:highlight w:val="none"/>
        </w:rPr>
        <w:t>处理，投标人不得再对投标文件进行任何修正从而使其响应成为实质上响应。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评审小组决定投标文件的响应性只根据招标文件要求、投标文件内容及主管部门指定媒体发布的相关信息。</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26.2如发现下列情况之一的，其投标文件将被认定为废标，该投标文件不参与评审：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（1）投标函未按照招标文件规定要求签署、盖章的；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（2）投标人的报价超过了招标文件中规定的最高限价的；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（3）不具备法律、法规和招标文件中规定的资格要求的；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（4）没有对招标文件中规定的实质性要求和条件作出响应的；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（5）评审小组认为投标人的报价明显低于其他通过符合性审查投标人的报价，有可能影响履约的，且投标人未按照规定证明其报价合理性的；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（6）投标人有串通投标、弄虚作假、行贿等违法行为的；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（7）未按招标文件的规定提交投标保证金的；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（8）投标有效期不足的；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（9）投标文件含有招标人不能接受的附加条件的；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（10）属于法律、法规和招标文件规定的其他投标文件无效情形。</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26.3 有下列情形之一的，视为投标人串通投标，其投标文件无效：</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（1）不同投标人的投标文件由同一单位或者个人编制；</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（2）不同投标人委托同一单位或者个人办理询价事宜；</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（3）不同投标人的投标文件载明的项目管理成员或者联系人员为同一人；</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（4）不同投标人的投标文件异常一致或者投标报价呈规律性差异；</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（5）不同投标人的投标文件相互混装；</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（6）不同投标人的投标保证金从同一单位或者个人的账户转出。</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27.比较与评审</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27.1经符合性审查合格的投标文件，评审小组将根据投标人须知表27.1款规定的评审方法，对其作进一步的比较和评审。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28.终止招标</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出现下列情形之一，招标人应当终止本次招标活动：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（1）因情况变化，不再符合规定的自主招标方式适用情形的；          </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（2）出现影响招标公正的违法、违规行为的；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（3）在招标过程中符合竞争要求的投标人或者报价未超过最高限价的投标人不足3家的；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（4）因重大变故，招标活动取消的。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29.中标候选人的推荐原则及标准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29.1除第28条和32条规定外，评审结束后，评审小组应当从质量和服务均能满足招标文件实质性响应要求的投标人中，按照最终得分由高到低的顺序按投标人须知表29.1款中规定数量推荐中标候选人。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29.2 因推荐中标候选人名单产生其他问题，由评审小组集体研究处理。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30.保密原则</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30.1对投标文件的评审应在严格保密的情况下进行。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30.2有关人员应当遵守评审工作纪律，不得泄露投标文件、评审情况和评审过程中获悉的国家秘密、商业秘密。</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 确定中标</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31.确定中标人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招标人在收到评审报告7个工作日内在电子采购平台公示中标候选人，公示期不少于3日。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招标人应从评审报告推荐的中标候选人中，根据招标文件的规定确定中标人，也可以书面授权评审小组直接确定中标人。本项目中标人确定方式详见投标人须知表第31条。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32.招标活动取消</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因重大变故招标活动取消时，招标人有权拒绝任何投标人中标，且对受影响的投标人不承担任何责任。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33.中标通知书</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33.1招标人应当自中标候选人公示结束后5个工作日内，向中标人发出中标通知书，并将结果通知所有参加招标活动的未中标的投标人。</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33.2中标通知书是合同的组成部分。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34.签订合同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34.1中标人应当自发出中标通知书之日起 30 日内，按照招标文件确定的合同文本以及采购要求等事项签订合同。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34.2除不可抗力等因素外，中标通知书发出后，招标人改变中标结果，或者中标人拒绝签订合同的，应当承担相应的法律责任。</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34.3招标文件、中标人的投标文件及其澄清文件等，均为签订合同的依据。所签订的合同不得对招标文件确定的事项和中标人投标文件作实质性修改。招标人不得向中标人提出任何不合理的要求，作为签订合同的条件，不得与中标人订立背离招标文件确定的合同文本以及招标标的、金额、数量、技术和服务要求等实质性内容的协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34.4中标人拒绝与招标人签订合同的，招标人可以按照评审报告推荐的中标候选人名单排序，确定下一中标候选人为中标人，也可以重新开展招标活动。拒绝签订合同的中标人需承担招标人的损失并不得参加对该项目重新开展的招标活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35.履约保证金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35.1 中标人应按照投标人须知表35.1款规定向招标人缴纳履约保证金。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35.2 如果中标人没有按照上述履约保证金的规定执行，将视为拒绝签订合同并放弃中标资格，中标人的投标保证金将不予退还。在此情况下，招标人可确定下一中标候选人为中标人，也可以重新开展招标活动。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36.廉洁自律规定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36.1招标人的工作人员不得与投标人恶意串通操纵招标活动。</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36.2招标人的工作人员不得接受投标人组织的宴请、旅游、娱乐，不得收受礼品、现金、有价证券等，不得向投标人报销应当由个人承担的费用。</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37.人员回避</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投标人认为招标人及其相关人员有法律法规所列与其他投标人有利害关系的，可以向招标人书面提出回避申请，并说明理由。</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38.质疑与接收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38.1投标人认为招标文件、招标过程和中标结果使自己的权益受到损害的，可以根据招标文件的有关规定，依法向招标人提出质疑。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38.2投标人应按照招标文件规定的质疑期内以书面形式通过电子采购平台提出质疑，针对同一采购程序环节的质疑应一次性提出。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超出法定质疑期的、重复提出的、分次提出的或内容、非书面的，提出质疑的投标人将依法承担不利后果。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38.3 招标人质疑函接收部门、联系电话和通讯地址, 见投标人须知表38.3款。</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39.其他</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39.1 本项目采购电子招标投标，电子招标投标的操作手册，投标人自行在电子采购平台相关栏目（首页&gt; 下载专区）下载。</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（1）电子采购平台系统服务器发生故障，无法访问或无法使用电子采购平台系统；</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（2）电子采购平台系统软件或数据库出现错误，不能进行正常操作的；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（3）电子采购平台系统发现有安全漏洞，有潜在的泄密危险；</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（4）出现断电事故且短时间内无法恢复供电的；</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（5）其他无法保证招标过程正常进行的情形。</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39.3 若遇不可抗力发生（包括网络瘫痪、服务器损坏、电子采购平台故障短期无法恢复等因素），导致电子采购平台无法正常运行，应终止评审的，应在恢复正常后及时安排时间评审。</w:t>
      </w:r>
    </w:p>
    <w:p>
      <w:pPr>
        <w:adjustRightInd w:val="0"/>
        <w:snapToGrid w:val="0"/>
        <w:spacing w:line="360" w:lineRule="auto"/>
        <w:rPr>
          <w:rFonts w:ascii="仿宋_GB2312" w:hAnsi="仿宋_GB2312" w:eastAsia="仿宋_GB2312" w:cs="仿宋_GB2312"/>
          <w:strike/>
          <w:color w:val="auto"/>
          <w:szCs w:val="21"/>
          <w:highlight w:val="none"/>
        </w:rPr>
      </w:pPr>
    </w:p>
    <w:p>
      <w:pPr>
        <w:pStyle w:val="20"/>
        <w:ind w:firstLine="0"/>
        <w:rPr>
          <w:color w:val="auto"/>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pStyle w:val="2"/>
        <w:adjustRightInd w:val="0"/>
        <w:snapToGrid w:val="0"/>
        <w:spacing w:before="319" w:beforeLines="100" w:after="319" w:afterLines="100" w:line="360" w:lineRule="auto"/>
        <w:jc w:val="center"/>
        <w:rPr>
          <w:rFonts w:ascii="仿宋" w:hAnsi="仿宋" w:eastAsia="仿宋" w:cs="仿宋"/>
          <w:color w:val="auto"/>
          <w:sz w:val="24"/>
          <w:highlight w:val="none"/>
        </w:rPr>
      </w:pPr>
      <w:bookmarkStart w:id="10" w:name="_Toc5779_WPSOffice_Level1"/>
      <w:bookmarkStart w:id="11" w:name="_Toc18170"/>
      <w:bookmarkStart w:id="12" w:name="_Toc30334"/>
      <w:r>
        <w:rPr>
          <w:rFonts w:hint="eastAsia" w:ascii="仿宋_GB2312" w:hAnsi="仿宋_GB2312" w:eastAsia="仿宋_GB2312" w:cs="仿宋_GB2312"/>
          <w:color w:val="auto"/>
          <w:sz w:val="30"/>
          <w:szCs w:val="30"/>
          <w:highlight w:val="none"/>
        </w:rPr>
        <w:t>第三章 招标人需求</w:t>
      </w:r>
      <w:bookmarkEnd w:id="10"/>
      <w:bookmarkEnd w:id="11"/>
      <w:bookmarkEnd w:id="12"/>
    </w:p>
    <w:p>
      <w:pPr>
        <w:pStyle w:val="20"/>
        <w:ind w:firstLine="0"/>
        <w:rPr>
          <w:rFonts w:ascii="仿宋" w:hAnsi="仿宋" w:eastAsia="仿宋" w:cs="仿宋"/>
          <w:color w:val="auto"/>
          <w:highlight w:val="none"/>
          <w:u w:val="single"/>
        </w:rPr>
      </w:pPr>
      <w:r>
        <w:rPr>
          <w:rFonts w:hint="eastAsia" w:ascii="仿宋" w:hAnsi="仿宋" w:eastAsia="仿宋" w:cs="仿宋"/>
          <w:b/>
          <w:bCs/>
          <w:color w:val="auto"/>
          <w:highlight w:val="none"/>
        </w:rPr>
        <w:t>一、项目名称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肇庆港高要港区迳口通用码头工程项目用地报批服务</w:t>
      </w:r>
    </w:p>
    <w:p>
      <w:pPr>
        <w:pStyle w:val="21"/>
        <w:spacing w:line="360" w:lineRule="auto"/>
        <w:ind w:firstLine="0" w:firstLineChars="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二、服务地点：</w:t>
      </w:r>
      <w:r>
        <w:rPr>
          <w:rFonts w:hint="eastAsia" w:ascii="仿宋" w:hAnsi="仿宋" w:eastAsia="仿宋" w:cs="仿宋"/>
          <w:color w:val="auto"/>
          <w:sz w:val="24"/>
          <w:highlight w:val="none"/>
          <w:u w:val="single"/>
        </w:rPr>
        <w:t>肇庆港高要港区迳口通用码头区域，具体以招标人指定地点为准</w:t>
      </w:r>
    </w:p>
    <w:p>
      <w:pPr>
        <w:pStyle w:val="21"/>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三、服务项目的规模和主要特征：</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1.工程建设单位：肇庆交投孔湾港务有限公司</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2.工程名称：肇庆港高要港区迳口通用码头工程</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3.工程建设地点：肇庆市高要区</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工程建设规模及建设内容：本工程位于广东省中西部肇庆市高要区小湘镇孔湾村西江左岸，本工程码头自上游至下游，本工程拟建2个3000吨级通用泊位（结构按5000吨级设计），兼靠3艘2000吨级干货船或兼靠3000、2000、1000吨级干货船各1艘，码头总长250m。项目用地面积8.79万m2，陆域面积5.48万m2，码头设计年通过能力为1020.2万吨/年，其中散货为983万吨/年，件杂货为37.2万吨/年，项目总投资约5.4亿元，建设期预计18个月。主要建设内容包括码头水工、护岸、陆域形成及地基处理、港内道路、堆场、装卸工艺设备购置及安装、生产及生产辅助建筑、给排水及消防、供电照明、通信及导航、控制、环保及临时工程等项目。</w:t>
      </w:r>
    </w:p>
    <w:p>
      <w:pPr>
        <w:pStyle w:val="21"/>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四、服务范围及内容</w:t>
      </w:r>
      <w:r>
        <w:rPr>
          <w:rFonts w:hint="eastAsia" w:ascii="仿宋" w:hAnsi="仿宋" w:eastAsia="仿宋" w:cs="仿宋"/>
          <w:color w:val="auto"/>
          <w:sz w:val="24"/>
          <w:highlight w:val="none"/>
        </w:rPr>
        <w:t>：肇庆港高要港区迳口通用码头工程用地报批提供相关技术服务。具体工作内容包括：1、用地报批技术服务。2、占用耕地耕作层土壤剥离再利用方案编制技术服务。3、土地勘测定界技术报告编制技术服务。</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b/>
          <w:bCs/>
          <w:color w:val="auto"/>
          <w:sz w:val="24"/>
          <w:highlight w:val="none"/>
        </w:rPr>
        <w:t>五、服务质量标准：</w:t>
      </w:r>
      <w:r>
        <w:rPr>
          <w:rFonts w:hint="eastAsia" w:ascii="仿宋" w:hAnsi="仿宋" w:eastAsia="仿宋" w:cs="仿宋"/>
          <w:color w:val="auto"/>
          <w:sz w:val="24"/>
          <w:highlight w:val="none"/>
        </w:rPr>
        <w:t>满足并符合现行的国家以及行业技术规范、规程、标准要求，相关成果资料经甲方确认并符合</w:t>
      </w:r>
      <w:r>
        <w:rPr>
          <w:rFonts w:ascii="仿宋" w:hAnsi="仿宋" w:eastAsia="仿宋" w:cs="仿宋"/>
          <w:color w:val="auto"/>
          <w:sz w:val="24"/>
          <w:highlight w:val="none"/>
        </w:rPr>
        <w:t>自然资源</w:t>
      </w:r>
      <w:r>
        <w:rPr>
          <w:rFonts w:hint="eastAsia" w:ascii="仿宋" w:hAnsi="仿宋" w:eastAsia="仿宋" w:cs="仿宋"/>
          <w:color w:val="auto"/>
          <w:sz w:val="24"/>
          <w:highlight w:val="none"/>
        </w:rPr>
        <w:t>主管部门的要求，</w:t>
      </w:r>
      <w:r>
        <w:rPr>
          <w:rFonts w:ascii="仿宋" w:hAnsi="仿宋" w:eastAsia="仿宋" w:cs="仿宋"/>
          <w:color w:val="auto"/>
          <w:sz w:val="24"/>
          <w:highlight w:val="none"/>
        </w:rPr>
        <w:t>取得建设用地</w:t>
      </w:r>
      <w:r>
        <w:rPr>
          <w:rFonts w:hint="eastAsia" w:ascii="仿宋" w:hAnsi="仿宋" w:eastAsia="仿宋" w:cs="仿宋"/>
          <w:color w:val="auto"/>
          <w:sz w:val="24"/>
          <w:highlight w:val="none"/>
        </w:rPr>
        <w:t>批复。</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b/>
          <w:bCs/>
          <w:color w:val="auto"/>
          <w:sz w:val="24"/>
          <w:highlight w:val="none"/>
        </w:rPr>
        <w:t>六、服务期：</w:t>
      </w:r>
      <w:r>
        <w:rPr>
          <w:rFonts w:hint="eastAsia" w:ascii="仿宋" w:hAnsi="仿宋" w:eastAsia="仿宋" w:cs="仿宋"/>
          <w:color w:val="auto"/>
          <w:sz w:val="24"/>
          <w:highlight w:val="none"/>
        </w:rPr>
        <w:t>合同签订后，30个日历日内完成成果文件报批稿，60个日历日内提交建设用地报批材料上报</w:t>
      </w:r>
      <w:r>
        <w:rPr>
          <w:rFonts w:ascii="仿宋" w:hAnsi="仿宋" w:eastAsia="仿宋" w:cs="仿宋"/>
          <w:color w:val="auto"/>
          <w:sz w:val="24"/>
          <w:highlight w:val="none"/>
        </w:rPr>
        <w:t>自然</w:t>
      </w:r>
      <w:r>
        <w:rPr>
          <w:rFonts w:hint="eastAsia" w:ascii="仿宋" w:hAnsi="仿宋" w:eastAsia="仿宋" w:cs="仿宋"/>
          <w:color w:val="auto"/>
          <w:sz w:val="24"/>
          <w:highlight w:val="none"/>
        </w:rPr>
        <w:t>资源局，120个日历日内完成服务成果报告，并通过主管部门批复，取得建设用地批文。</w:t>
      </w:r>
    </w:p>
    <w:p>
      <w:pPr>
        <w:pStyle w:val="21"/>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七、服务费的支付</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（1）合同签订后，支付总技术服务费用的</w:t>
      </w:r>
      <w:r>
        <w:rPr>
          <w:rFonts w:ascii="仿宋" w:hAnsi="仿宋" w:eastAsia="仿宋" w:cs="仿宋"/>
          <w:color w:val="auto"/>
          <w:sz w:val="24"/>
          <w:highlight w:val="none"/>
        </w:rPr>
        <w:t>20</w:t>
      </w:r>
      <w:r>
        <w:rPr>
          <w:rFonts w:hint="eastAsia" w:ascii="仿宋" w:hAnsi="仿宋" w:eastAsia="仿宋" w:cs="仿宋"/>
          <w:color w:val="auto"/>
          <w:sz w:val="24"/>
          <w:highlight w:val="none"/>
        </w:rPr>
        <w:t>%，当做预付款。</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（2）视工作进度情况，可根据进度对用地报批技术服务、占用耕地耕作层土壤剥离再利用方案编制技术服务、土地勘测定界技术报告编制技术服务的工作技术服务费用进行中期计量：</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A.用地报批技术服务工作，组卷完成并上报至具有审批权限的自然资源主管部门，支付该单项技术服务费用的30%；</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B.占用耕地耕作层土壤剥离再利用方案编制技术服务工作，完成耕作层剥离及再利用方案编制并上报各级主管部门审批，支付该单项技术服务费用的30%；</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C.土地勘测定界技术报告编制技术服务工作，出具土地勘测定界报告成果，支付该单项技术服务费用的30%；</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（3）各单项技术服务工作，取得有终审审批权限的自然资源主管部门下发的通过批复后，支付各单项技术服务费用的</w:t>
      </w:r>
      <w:r>
        <w:rPr>
          <w:rFonts w:ascii="仿宋" w:hAnsi="仿宋" w:eastAsia="仿宋" w:cs="仿宋"/>
          <w:color w:val="auto"/>
          <w:sz w:val="24"/>
          <w:highlight w:val="none"/>
        </w:rPr>
        <w:t>5</w:t>
      </w:r>
      <w:r>
        <w:rPr>
          <w:rFonts w:hint="eastAsia" w:ascii="仿宋" w:hAnsi="仿宋" w:eastAsia="仿宋" w:cs="仿宋"/>
          <w:color w:val="auto"/>
          <w:sz w:val="24"/>
          <w:highlight w:val="none"/>
        </w:rPr>
        <w:t>0%。</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（4）合同签订生效后，上述费用支付日期以开户银行转帐日期为准，每次付款前需提供付款申请和合法等额有效的增值税专用发票。</w:t>
      </w:r>
    </w:p>
    <w:p>
      <w:pPr>
        <w:pStyle w:val="21"/>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八、服务成果的要求及验收标准</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1.满足并符合现行的国家以及行业技术规范、规程、标准要求，相关成果资料经甲方确认并符合各级</w:t>
      </w:r>
      <w:r>
        <w:rPr>
          <w:rFonts w:ascii="仿宋" w:hAnsi="仿宋" w:eastAsia="仿宋" w:cs="仿宋"/>
          <w:color w:val="auto"/>
          <w:sz w:val="24"/>
          <w:highlight w:val="none"/>
        </w:rPr>
        <w:t>自然</w:t>
      </w:r>
      <w:r>
        <w:rPr>
          <w:rFonts w:hint="eastAsia" w:ascii="仿宋" w:hAnsi="仿宋" w:eastAsia="仿宋" w:cs="仿宋"/>
          <w:color w:val="auto"/>
          <w:sz w:val="24"/>
          <w:highlight w:val="none"/>
        </w:rPr>
        <w:t>主管部门的要求</w:t>
      </w:r>
      <w:r>
        <w:rPr>
          <w:rFonts w:ascii="仿宋" w:hAnsi="仿宋" w:eastAsia="仿宋" w:cs="仿宋"/>
          <w:color w:val="auto"/>
          <w:sz w:val="24"/>
          <w:highlight w:val="none"/>
        </w:rPr>
        <w:t>并</w:t>
      </w:r>
      <w:r>
        <w:rPr>
          <w:rFonts w:hint="eastAsia" w:ascii="仿宋" w:hAnsi="仿宋" w:eastAsia="仿宋" w:cs="仿宋"/>
          <w:color w:val="auto"/>
          <w:sz w:val="24"/>
          <w:highlight w:val="none"/>
        </w:rPr>
        <w:t>最终取得建设用地</w:t>
      </w:r>
      <w:r>
        <w:rPr>
          <w:rFonts w:ascii="仿宋" w:hAnsi="仿宋" w:eastAsia="仿宋" w:cs="仿宋"/>
          <w:color w:val="auto"/>
          <w:sz w:val="24"/>
          <w:highlight w:val="none"/>
        </w:rPr>
        <w:t>批复</w:t>
      </w:r>
      <w:r>
        <w:rPr>
          <w:rFonts w:hint="eastAsia" w:ascii="仿宋" w:hAnsi="仿宋" w:eastAsia="仿宋" w:cs="仿宋"/>
          <w:color w:val="auto"/>
          <w:sz w:val="24"/>
          <w:highlight w:val="none"/>
        </w:rPr>
        <w:t>。</w:t>
      </w:r>
    </w:p>
    <w:p>
      <w:pPr>
        <w:pStyle w:val="21"/>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2.技术质量要求</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广东省国土资源厅关于印发&lt;省政府审批建设用地报批材料范本（2018年修订版）&gt;的通知》（粤国土资利用发〔2018〕25号）、《肇庆市国土资源局关于印发〈肇庆市国土资源局关于印发&lt;肇庆市建设用地报批流程及材料清单〉的通知》（肇国土资发〔2018〕89号）及有关规范要求，编制建设用地报批组卷材料。</w:t>
      </w:r>
    </w:p>
    <w:p>
      <w:pPr>
        <w:pStyle w:val="21"/>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九、服务成果清单：</w:t>
      </w:r>
    </w:p>
    <w:p>
      <w:pPr>
        <w:pStyle w:val="2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报告（报批稿）以及其他各项成果文件除报批使用的另外各提交6份甲方存档，并同时提交电子版（需同时提交pdf格式版本及word、DWG、PPT、JPG、CAD等可编辑格式）</w:t>
      </w:r>
    </w:p>
    <w:p>
      <w:pPr>
        <w:pStyle w:val="21"/>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十、其他：/</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rPr>
          <w:rFonts w:ascii="仿宋_GB2312" w:hAnsi="仿宋_GB2312" w:eastAsia="仿宋_GB2312" w:cs="仿宋_GB2312"/>
          <w:color w:val="auto"/>
          <w:szCs w:val="21"/>
          <w:highlight w:val="none"/>
        </w:rPr>
      </w:pPr>
      <w:bookmarkStart w:id="13" w:name="_Toc15216_WPSOffice_Level1"/>
      <w:bookmarkStart w:id="14" w:name="_Toc10646"/>
      <w:r>
        <w:rPr>
          <w:rFonts w:hint="eastAsia" w:ascii="仿宋" w:hAnsi="仿宋" w:eastAsia="仿宋" w:cs="仿宋"/>
          <w:color w:val="auto"/>
          <w:sz w:val="24"/>
          <w:highlight w:val="none"/>
        </w:rPr>
        <w:br w:type="page"/>
      </w:r>
      <w:bookmarkEnd w:id="13"/>
      <w:bookmarkEnd w:id="14"/>
    </w:p>
    <w:p>
      <w:pPr>
        <w:pStyle w:val="2"/>
        <w:adjustRightInd w:val="0"/>
        <w:snapToGrid w:val="0"/>
        <w:spacing w:before="319" w:beforeLines="100" w:after="319" w:afterLines="100" w:line="360" w:lineRule="auto"/>
        <w:jc w:val="center"/>
        <w:rPr>
          <w:rFonts w:ascii="仿宋_GB2312" w:hAnsi="仿宋_GB2312" w:eastAsia="仿宋_GB2312" w:cs="仿宋_GB2312"/>
          <w:color w:val="auto"/>
          <w:highlight w:val="none"/>
        </w:rPr>
      </w:pPr>
      <w:bookmarkStart w:id="15" w:name="_Toc31475"/>
      <w:r>
        <w:rPr>
          <w:rFonts w:hint="eastAsia" w:ascii="仿宋_GB2312" w:hAnsi="仿宋_GB2312" w:eastAsia="仿宋_GB2312" w:cs="仿宋_GB2312"/>
          <w:color w:val="auto"/>
          <w:highlight w:val="none"/>
        </w:rPr>
        <w:t>第四章 评审方法（综合评分法）</w:t>
      </w:r>
      <w:bookmarkEnd w:id="15"/>
    </w:p>
    <w:p>
      <w:pPr>
        <w:adjustRightInd w:val="0"/>
        <w:snapToGrid w:val="0"/>
        <w:spacing w:line="360" w:lineRule="auto"/>
        <w:ind w:firstLine="420"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Cs/>
          <w:color w:val="auto"/>
          <w:kern w:val="0"/>
          <w:szCs w:val="21"/>
          <w:highlight w:val="none"/>
        </w:rPr>
        <w:t>本项目将按照招标文件第二章投标人须知中“六 评审”、“七 确定中标”及本章的规定评审。</w:t>
      </w:r>
    </w:p>
    <w:p>
      <w:pPr>
        <w:adjustRightInd w:val="0"/>
        <w:snapToGrid w:val="0"/>
        <w:spacing w:line="360" w:lineRule="auto"/>
        <w:ind w:firstLine="422"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一、评审方法</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综合评分法。</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（一）评审原则</w:t>
      </w:r>
    </w:p>
    <w:p>
      <w:pPr>
        <w:adjustRightInd w:val="0"/>
        <w:snapToGrid w:val="0"/>
        <w:spacing w:line="360" w:lineRule="auto"/>
        <w:ind w:firstLine="420" w:firstLineChars="200"/>
        <w:textAlignment w:val="baseline"/>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评审小组应当遵</w:t>
      </w:r>
      <w:r>
        <w:rPr>
          <w:rFonts w:hint="eastAsia" w:ascii="仿宋_GB2312" w:hAnsi="仿宋_GB2312" w:eastAsia="仿宋_GB2312" w:cs="仿宋_GB2312"/>
          <w:color w:val="auto"/>
          <w:szCs w:val="21"/>
          <w:highlight w:val="none"/>
        </w:rPr>
        <w:t>纪守法，客观、公正、廉洁地履行职责</w:t>
      </w:r>
      <w:r>
        <w:rPr>
          <w:rFonts w:hint="eastAsia" w:ascii="仿宋_GB2312" w:hAnsi="仿宋_GB2312" w:eastAsia="仿宋_GB2312" w:cs="仿宋_GB2312"/>
          <w:color w:val="auto"/>
          <w:kern w:val="0"/>
          <w:highlight w:val="none"/>
        </w:rPr>
        <w:t>，根据</w:t>
      </w:r>
      <w:r>
        <w:rPr>
          <w:rFonts w:hint="eastAsia" w:ascii="仿宋_GB2312" w:hAnsi="仿宋_GB2312" w:eastAsia="仿宋_GB2312" w:cs="仿宋_GB2312"/>
          <w:color w:val="auto"/>
          <w:szCs w:val="21"/>
          <w:highlight w:val="none"/>
        </w:rPr>
        <w:t>招标文件</w:t>
      </w:r>
      <w:r>
        <w:rPr>
          <w:rFonts w:hint="eastAsia" w:ascii="仿宋_GB2312" w:hAnsi="仿宋_GB2312" w:eastAsia="仿宋_GB2312" w:cs="仿宋_GB2312"/>
          <w:color w:val="auto"/>
          <w:kern w:val="0"/>
          <w:highlight w:val="none"/>
        </w:rPr>
        <w:t>规定的评审程序、评审方法和评审标准进行独立评审。</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（二）评审程序</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1、确认招标文件</w:t>
      </w:r>
    </w:p>
    <w:p>
      <w:pPr>
        <w:adjustRightInd w:val="0"/>
        <w:snapToGrid w:val="0"/>
        <w:spacing w:line="360" w:lineRule="auto"/>
        <w:ind w:firstLine="420"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color w:val="auto"/>
          <w:kern w:val="0"/>
          <w:highlight w:val="none"/>
        </w:rPr>
        <w:t>招标文件内容违反国家有关强制性规定的，评审小组应当停止评审并向招标人说明情况。</w:t>
      </w:r>
    </w:p>
    <w:p>
      <w:pPr>
        <w:adjustRightInd w:val="0"/>
        <w:snapToGrid w:val="0"/>
        <w:spacing w:line="360" w:lineRule="auto"/>
        <w:ind w:firstLine="422" w:firstLineChars="200"/>
        <w:textAlignment w:val="baseline"/>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2资格审查</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3.符合性检查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详见投标人须知23款。符合性审查表详见本章附件2。</w:t>
      </w:r>
    </w:p>
    <w:p>
      <w:pPr>
        <w:adjustRightInd w:val="0"/>
        <w:snapToGrid w:val="0"/>
        <w:spacing w:line="360" w:lineRule="auto"/>
        <w:ind w:firstLine="422"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4、比较及评审</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4.1评审小组对通过资格审查、符合性审查的投标文件进行比较和评审。</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4.3评审小组</w:t>
      </w:r>
      <w:r>
        <w:rPr>
          <w:rFonts w:hint="eastAsia" w:ascii="仿宋_GB2312" w:hAnsi="仿宋_GB2312" w:eastAsia="仿宋_GB2312" w:cs="仿宋_GB2312"/>
          <w:color w:val="auto"/>
          <w:szCs w:val="21"/>
          <w:highlight w:val="none"/>
        </w:rPr>
        <w:t>认为投标人的报价明显低于其他通过符合性审查的投标人报价，有可能影响产品质量或者不能诚信履约的，评审小组应当要求其在评审现场合理的时间（</w:t>
      </w:r>
      <w:r>
        <w:rPr>
          <w:rFonts w:hint="eastAsia" w:ascii="仿宋_GB2312" w:hAnsi="仿宋_GB2312" w:eastAsia="仿宋_GB2312" w:cs="仿宋_GB2312"/>
          <w:color w:val="auto"/>
          <w:kern w:val="0"/>
          <w:szCs w:val="21"/>
          <w:highlight w:val="none"/>
        </w:rPr>
        <w:t>接到通知后</w:t>
      </w:r>
      <w:r>
        <w:rPr>
          <w:rFonts w:hint="eastAsia" w:ascii="仿宋_GB2312" w:hAnsi="仿宋_GB2312" w:eastAsia="仿宋_GB2312" w:cs="仿宋_GB2312"/>
          <w:b/>
          <w:bCs/>
          <w:color w:val="auto"/>
          <w:kern w:val="0"/>
          <w:szCs w:val="21"/>
          <w:highlight w:val="none"/>
          <w:u w:val="single"/>
        </w:rPr>
        <w:t xml:space="preserve"> 1 </w:t>
      </w:r>
      <w:r>
        <w:rPr>
          <w:rFonts w:hint="eastAsia" w:ascii="仿宋_GB2312" w:hAnsi="仿宋_GB2312" w:eastAsia="仿宋_GB2312" w:cs="仿宋_GB2312"/>
          <w:color w:val="auto"/>
          <w:kern w:val="0"/>
          <w:szCs w:val="21"/>
          <w:highlight w:val="none"/>
        </w:rPr>
        <w:t>小时</w:t>
      </w:r>
      <w:r>
        <w:rPr>
          <w:rFonts w:hint="eastAsia" w:ascii="仿宋_GB2312" w:hAnsi="仿宋_GB2312" w:eastAsia="仿宋_GB2312" w:cs="仿宋_GB2312"/>
          <w:color w:val="auto"/>
          <w:szCs w:val="21"/>
          <w:highlight w:val="none"/>
        </w:rPr>
        <w:t>）内通过电子采购平台提供书面说明，并提交相关证明材料，</w:t>
      </w:r>
      <w:r>
        <w:rPr>
          <w:rFonts w:hint="eastAsia" w:ascii="仿宋_GB2312" w:hAnsi="仿宋_GB2312" w:eastAsia="仿宋_GB2312" w:cs="仿宋_GB2312"/>
          <w:color w:val="auto"/>
          <w:kern w:val="0"/>
          <w:szCs w:val="21"/>
          <w:highlight w:val="none"/>
        </w:rPr>
        <w:t>投标人不能证明其报价合理性的，评审小组应当将</w:t>
      </w:r>
      <w:r>
        <w:rPr>
          <w:rFonts w:hint="eastAsia" w:ascii="仿宋_GB2312" w:hAnsi="仿宋_GB2312" w:eastAsia="仿宋_GB2312" w:cs="仿宋_GB2312"/>
          <w:color w:val="auto"/>
          <w:szCs w:val="21"/>
          <w:highlight w:val="none"/>
        </w:rPr>
        <w:t>其响应作为</w:t>
      </w:r>
      <w:r>
        <w:rPr>
          <w:rFonts w:hint="eastAsia" w:ascii="仿宋_GB2312" w:hAnsi="仿宋_GB2312" w:eastAsia="仿宋_GB2312" w:cs="仿宋_GB2312"/>
          <w:b/>
          <w:bCs/>
          <w:color w:val="auto"/>
          <w:szCs w:val="21"/>
          <w:highlight w:val="none"/>
        </w:rPr>
        <w:t>废标处理</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投标人的书面说明材料包含本身成本、人工费用、运输、税收等，以及投标报价不会影响产品质量或诚信履约能力的说明等。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提供书面说明后，评审小组应当结合招标项目招标人需求、专业实际情况、投标人财务状况报告、与其他投标人比较情况等投标人的书面说明进行审查评价。投标人如有下列情况的，评审小组应当将其投标文件作为</w:t>
      </w:r>
      <w:r>
        <w:rPr>
          <w:rFonts w:hint="eastAsia" w:ascii="仿宋_GB2312" w:hAnsi="仿宋_GB2312" w:eastAsia="仿宋_GB2312" w:cs="仿宋_GB2312"/>
          <w:b/>
          <w:bCs/>
          <w:color w:val="auto"/>
          <w:szCs w:val="21"/>
          <w:highlight w:val="none"/>
        </w:rPr>
        <w:t>废标处理</w:t>
      </w:r>
      <w:r>
        <w:rPr>
          <w:rFonts w:hint="eastAsia" w:ascii="仿宋_GB2312" w:hAnsi="仿宋_GB2312" w:eastAsia="仿宋_GB2312" w:cs="仿宋_GB2312"/>
          <w:color w:val="auto"/>
          <w:szCs w:val="21"/>
          <w:highlight w:val="none"/>
        </w:rPr>
        <w:t>：</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拒绝或者变相拒绝提供有效书面说明；</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书面说明不能证明其报价合理性的；</w:t>
      </w:r>
    </w:p>
    <w:p>
      <w:pPr>
        <w:numPr>
          <w:ilvl w:val="0"/>
          <w:numId w:val="4"/>
        </w:num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未在规定时间内递交有效书面说明书的。</w:t>
      </w:r>
    </w:p>
    <w:p>
      <w:pPr>
        <w:pStyle w:val="20"/>
        <w:rPr>
          <w:rFonts w:ascii="仿宋_GB2312" w:hAnsi="仿宋_GB2312" w:eastAsia="仿宋_GB2312" w:cs="仿宋_GB2312"/>
          <w:b/>
          <w:bCs/>
          <w:color w:val="auto"/>
          <w:spacing w:val="0"/>
          <w:kern w:val="2"/>
          <w:sz w:val="21"/>
          <w:szCs w:val="21"/>
          <w:highlight w:val="none"/>
        </w:rPr>
      </w:pPr>
      <w:r>
        <w:rPr>
          <w:rFonts w:hint="eastAsia" w:ascii="仿宋_GB2312" w:hAnsi="仿宋_GB2312" w:eastAsia="仿宋_GB2312" w:cs="仿宋_GB2312"/>
          <w:b/>
          <w:bCs/>
          <w:color w:val="auto"/>
          <w:spacing w:val="0"/>
          <w:kern w:val="2"/>
          <w:sz w:val="21"/>
          <w:szCs w:val="21"/>
          <w:highlight w:val="none"/>
        </w:rPr>
        <w:t>4.4 分值构成与评分标准</w:t>
      </w:r>
    </w:p>
    <w:tbl>
      <w:tblPr>
        <w:tblStyle w:val="14"/>
        <w:tblpPr w:leftFromText="180" w:rightFromText="180" w:vertAnchor="text" w:horzAnchor="page" w:tblpX="1419" w:tblpY="25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131"/>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2042" w:type="dxa"/>
            <w:gridSpan w:val="2"/>
            <w:shd w:val="clear" w:color="auto" w:fill="FFFFFF"/>
            <w:vAlign w:val="bottom"/>
          </w:tcPr>
          <w:p>
            <w:pPr>
              <w:pStyle w:val="23"/>
              <w:shd w:val="clear" w:color="auto" w:fill="auto"/>
              <w:spacing w:before="0" w:line="240" w:lineRule="auto"/>
              <w:ind w:left="42" w:leftChars="20" w:right="42" w:rightChars="20"/>
              <w:jc w:val="center"/>
              <w:rPr>
                <w:rFonts w:ascii="仿宋_GB2312" w:hAnsi="仿宋_GB2312" w:eastAsia="仿宋_GB2312" w:cs="仿宋_GB2312"/>
                <w:b/>
                <w:bCs/>
                <w:color w:val="auto"/>
                <w:sz w:val="21"/>
                <w:szCs w:val="21"/>
                <w:highlight w:val="none"/>
              </w:rPr>
            </w:pPr>
            <w:r>
              <w:rPr>
                <w:rStyle w:val="24"/>
                <w:rFonts w:hint="eastAsia" w:ascii="仿宋_GB2312" w:hAnsi="仿宋_GB2312" w:eastAsia="仿宋_GB2312" w:cs="仿宋_GB2312"/>
                <w:b/>
                <w:bCs/>
                <w:color w:val="auto"/>
                <w:sz w:val="21"/>
                <w:szCs w:val="21"/>
                <w:highlight w:val="none"/>
                <w:lang w:val="zh-CN"/>
              </w:rPr>
              <w:t>条款号</w:t>
            </w:r>
          </w:p>
        </w:tc>
        <w:tc>
          <w:tcPr>
            <w:tcW w:w="7172" w:type="dxa"/>
            <w:shd w:val="clear" w:color="auto" w:fill="FFFFFF"/>
            <w:vAlign w:val="bottom"/>
          </w:tcPr>
          <w:p>
            <w:pPr>
              <w:pStyle w:val="23"/>
              <w:shd w:val="clear" w:color="auto" w:fill="auto"/>
              <w:spacing w:before="0" w:line="240" w:lineRule="auto"/>
              <w:ind w:left="42" w:leftChars="20" w:right="42" w:rightChars="20"/>
              <w:jc w:val="center"/>
              <w:rPr>
                <w:rFonts w:ascii="仿宋_GB2312" w:hAnsi="仿宋_GB2312" w:eastAsia="仿宋_GB2312" w:cs="仿宋_GB2312"/>
                <w:b/>
                <w:bCs/>
                <w:color w:val="auto"/>
                <w:sz w:val="21"/>
                <w:szCs w:val="21"/>
                <w:highlight w:val="none"/>
              </w:rPr>
            </w:pPr>
            <w:r>
              <w:rPr>
                <w:rStyle w:val="24"/>
                <w:rFonts w:hint="eastAsia" w:ascii="仿宋_GB2312" w:hAnsi="仿宋_GB2312" w:eastAsia="仿宋_GB2312" w:cs="仿宋_GB2312"/>
                <w:b/>
                <w:bCs/>
                <w:color w:val="auto"/>
                <w:sz w:val="21"/>
                <w:szCs w:val="21"/>
                <w:highlight w:val="none"/>
                <w:lang w:val="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exact"/>
        </w:trPr>
        <w:tc>
          <w:tcPr>
            <w:tcW w:w="911" w:type="dxa"/>
            <w:shd w:val="clear" w:color="auto" w:fill="FFFFFF"/>
            <w:vAlign w:val="center"/>
          </w:tcPr>
          <w:p>
            <w:pPr>
              <w:pStyle w:val="23"/>
              <w:shd w:val="clear" w:color="auto" w:fill="auto"/>
              <w:spacing w:before="0" w:line="240" w:lineRule="auto"/>
              <w:ind w:left="42" w:leftChars="20" w:right="42" w:rightChars="20"/>
              <w:jc w:val="center"/>
              <w:rPr>
                <w:rFonts w:ascii="仿宋_GB2312" w:hAnsi="仿宋_GB2312" w:eastAsia="仿宋_GB2312" w:cs="仿宋_GB2312"/>
                <w:color w:val="auto"/>
                <w:sz w:val="21"/>
                <w:szCs w:val="21"/>
                <w:highlight w:val="none"/>
              </w:rPr>
            </w:pPr>
            <w:r>
              <w:rPr>
                <w:rStyle w:val="25"/>
                <w:rFonts w:hint="eastAsia" w:ascii="仿宋_GB2312" w:hAnsi="仿宋_GB2312" w:eastAsia="仿宋_GB2312" w:cs="仿宋_GB2312"/>
                <w:color w:val="auto"/>
                <w:sz w:val="21"/>
                <w:szCs w:val="21"/>
                <w:highlight w:val="none"/>
              </w:rPr>
              <w:t>4.4.</w:t>
            </w:r>
            <w:r>
              <w:rPr>
                <w:rStyle w:val="25"/>
                <w:rFonts w:hint="eastAsia" w:ascii="仿宋_GB2312" w:hAnsi="仿宋_GB2312" w:eastAsia="仿宋_GB2312" w:cs="仿宋_GB2312"/>
                <w:color w:val="auto"/>
                <w:sz w:val="21"/>
                <w:szCs w:val="21"/>
                <w:highlight w:val="none"/>
                <w:lang w:val="zh-CN"/>
              </w:rPr>
              <w:t>1</w:t>
            </w:r>
          </w:p>
        </w:tc>
        <w:tc>
          <w:tcPr>
            <w:tcW w:w="1131" w:type="dxa"/>
            <w:shd w:val="clear" w:color="auto" w:fill="FFFFFF"/>
            <w:vAlign w:val="center"/>
          </w:tcPr>
          <w:p>
            <w:pPr>
              <w:pStyle w:val="23"/>
              <w:shd w:val="clear" w:color="auto" w:fill="auto"/>
              <w:spacing w:before="0" w:line="240" w:lineRule="auto"/>
              <w:ind w:left="42" w:leftChars="20" w:right="42" w:rightChars="20"/>
              <w:jc w:val="center"/>
              <w:rPr>
                <w:rFonts w:ascii="仿宋_GB2312" w:hAnsi="仿宋_GB2312" w:eastAsia="仿宋_GB2312" w:cs="仿宋_GB2312"/>
                <w:color w:val="auto"/>
                <w:sz w:val="21"/>
                <w:szCs w:val="21"/>
                <w:highlight w:val="none"/>
              </w:rPr>
            </w:pPr>
            <w:r>
              <w:rPr>
                <w:rStyle w:val="25"/>
                <w:rFonts w:hint="eastAsia" w:ascii="仿宋_GB2312" w:hAnsi="仿宋_GB2312" w:eastAsia="仿宋_GB2312" w:cs="仿宋_GB2312"/>
                <w:color w:val="auto"/>
                <w:sz w:val="21"/>
                <w:szCs w:val="21"/>
                <w:highlight w:val="none"/>
                <w:lang w:val="zh-CN"/>
              </w:rPr>
              <w:t>评</w:t>
            </w:r>
            <w:r>
              <w:rPr>
                <w:rStyle w:val="25"/>
                <w:rFonts w:hint="eastAsia" w:ascii="仿宋_GB2312" w:hAnsi="仿宋_GB2312" w:eastAsia="仿宋_GB2312" w:cs="仿宋_GB2312"/>
                <w:color w:val="auto"/>
                <w:sz w:val="21"/>
                <w:szCs w:val="21"/>
                <w:highlight w:val="none"/>
              </w:rPr>
              <w:t>审</w:t>
            </w:r>
            <w:r>
              <w:rPr>
                <w:rStyle w:val="25"/>
                <w:rFonts w:hint="eastAsia" w:ascii="仿宋_GB2312" w:hAnsi="仿宋_GB2312" w:eastAsia="仿宋_GB2312" w:cs="仿宋_GB2312"/>
                <w:color w:val="auto"/>
                <w:sz w:val="21"/>
                <w:szCs w:val="21"/>
                <w:highlight w:val="none"/>
                <w:lang w:val="zh-CN"/>
              </w:rPr>
              <w:t>方法</w:t>
            </w:r>
          </w:p>
        </w:tc>
        <w:tc>
          <w:tcPr>
            <w:tcW w:w="7172" w:type="dxa"/>
            <w:shd w:val="clear" w:color="auto" w:fill="FFFFFF"/>
            <w:vAlign w:val="center"/>
          </w:tcPr>
          <w:p>
            <w:pPr>
              <w:pStyle w:val="23"/>
              <w:shd w:val="clear" w:color="auto" w:fill="auto"/>
              <w:spacing w:before="0" w:line="240" w:lineRule="auto"/>
              <w:ind w:right="42" w:rightChars="20" w:firstLine="420" w:firstLineChars="200"/>
              <w:jc w:val="both"/>
              <w:rPr>
                <w:rStyle w:val="26"/>
                <w:rFonts w:ascii="仿宋_GB2312" w:hAnsi="仿宋_GB2312" w:eastAsia="仿宋_GB2312" w:cs="仿宋_GB2312"/>
                <w:color w:val="auto"/>
                <w:sz w:val="21"/>
                <w:szCs w:val="21"/>
                <w:highlight w:val="none"/>
                <w:lang w:val="zh-CN"/>
              </w:rPr>
            </w:pPr>
            <w:r>
              <w:rPr>
                <w:rStyle w:val="26"/>
                <w:rFonts w:hint="eastAsia" w:ascii="仿宋_GB2312" w:hAnsi="仿宋_GB2312" w:eastAsia="仿宋_GB2312" w:cs="仿宋_GB2312"/>
                <w:color w:val="auto"/>
                <w:sz w:val="21"/>
                <w:szCs w:val="21"/>
                <w:highlight w:val="none"/>
                <w:lang w:val="zh-CN"/>
              </w:rPr>
              <w:t>综合评分相等时，评</w:t>
            </w:r>
            <w:r>
              <w:rPr>
                <w:rStyle w:val="26"/>
                <w:rFonts w:hint="eastAsia" w:ascii="仿宋_GB2312" w:hAnsi="仿宋_GB2312" w:eastAsia="仿宋_GB2312" w:cs="仿宋_GB2312"/>
                <w:color w:val="auto"/>
                <w:sz w:val="21"/>
                <w:szCs w:val="21"/>
                <w:highlight w:val="none"/>
              </w:rPr>
              <w:t>审小组</w:t>
            </w:r>
            <w:r>
              <w:rPr>
                <w:rStyle w:val="26"/>
                <w:rFonts w:hint="eastAsia" w:ascii="仿宋_GB2312" w:hAnsi="仿宋_GB2312" w:eastAsia="仿宋_GB2312" w:cs="仿宋_GB2312"/>
                <w:color w:val="auto"/>
                <w:sz w:val="21"/>
                <w:szCs w:val="21"/>
                <w:highlight w:val="none"/>
                <w:lang w:val="zh-CN"/>
              </w:rPr>
              <w:t>依次按照以下优先顺序推荐中标候选人或确定中标人：</w:t>
            </w:r>
          </w:p>
          <w:p>
            <w:pPr>
              <w:pStyle w:val="23"/>
              <w:shd w:val="clear" w:color="auto" w:fill="auto"/>
              <w:tabs>
                <w:tab w:val="left" w:pos="1050"/>
              </w:tabs>
              <w:spacing w:before="0" w:line="240" w:lineRule="auto"/>
              <w:ind w:left="42" w:leftChars="20" w:right="42" w:rightChars="20"/>
              <w:jc w:val="both"/>
              <w:rPr>
                <w:rStyle w:val="26"/>
                <w:rFonts w:ascii="仿宋_GB2312" w:hAnsi="仿宋_GB2312" w:eastAsia="仿宋_GB2312" w:cs="仿宋_GB2312"/>
                <w:color w:val="auto"/>
                <w:sz w:val="21"/>
                <w:szCs w:val="21"/>
                <w:highlight w:val="none"/>
                <w:lang w:val="zh-CN"/>
              </w:rPr>
            </w:pPr>
            <w:r>
              <w:rPr>
                <w:rStyle w:val="26"/>
                <w:rFonts w:hint="eastAsia" w:ascii="仿宋_GB2312" w:hAnsi="仿宋_GB2312" w:eastAsia="仿宋_GB2312" w:cs="仿宋_GB2312"/>
                <w:color w:val="auto"/>
                <w:sz w:val="21"/>
                <w:szCs w:val="21"/>
                <w:highlight w:val="none"/>
                <w:lang w:val="zh-CN"/>
              </w:rPr>
              <w:t>（1）评标价低的优先；</w:t>
            </w:r>
          </w:p>
          <w:p>
            <w:pPr>
              <w:pStyle w:val="23"/>
              <w:shd w:val="clear" w:color="auto" w:fill="auto"/>
              <w:tabs>
                <w:tab w:val="left" w:pos="1050"/>
              </w:tabs>
              <w:spacing w:before="0" w:line="240" w:lineRule="auto"/>
              <w:ind w:left="42" w:leftChars="20" w:right="42" w:rightChars="20"/>
              <w:jc w:val="both"/>
              <w:rPr>
                <w:rStyle w:val="26"/>
                <w:rFonts w:ascii="仿宋_GB2312" w:hAnsi="仿宋_GB2312" w:eastAsia="仿宋_GB2312" w:cs="仿宋_GB2312"/>
                <w:color w:val="auto"/>
                <w:sz w:val="21"/>
                <w:szCs w:val="21"/>
                <w:highlight w:val="none"/>
              </w:rPr>
            </w:pPr>
            <w:r>
              <w:rPr>
                <w:rStyle w:val="26"/>
                <w:rFonts w:hint="eastAsia" w:ascii="仿宋_GB2312" w:hAnsi="仿宋_GB2312" w:eastAsia="仿宋_GB2312" w:cs="仿宋_GB2312"/>
                <w:color w:val="auto"/>
                <w:sz w:val="21"/>
                <w:szCs w:val="21"/>
                <w:highlight w:val="none"/>
                <w:lang w:val="zh-CN"/>
              </w:rPr>
              <w:t>（2）</w:t>
            </w:r>
            <w:r>
              <w:rPr>
                <w:rStyle w:val="26"/>
                <w:rFonts w:hint="eastAsia" w:ascii="仿宋_GB2312" w:hAnsi="仿宋_GB2312" w:eastAsia="仿宋_GB2312" w:cs="仿宋_GB2312"/>
                <w:color w:val="auto"/>
                <w:sz w:val="21"/>
                <w:szCs w:val="21"/>
                <w:highlight w:val="none"/>
              </w:rPr>
              <w:t>以投标人企业最新年度净资产较高的优先；</w:t>
            </w:r>
          </w:p>
          <w:p>
            <w:pPr>
              <w:pStyle w:val="23"/>
              <w:shd w:val="clear" w:color="auto" w:fill="auto"/>
              <w:tabs>
                <w:tab w:val="left" w:pos="1087"/>
              </w:tabs>
              <w:spacing w:before="0" w:line="240" w:lineRule="auto"/>
              <w:ind w:left="42" w:leftChars="20" w:right="42" w:rightChars="20"/>
              <w:jc w:val="both"/>
              <w:rPr>
                <w:rFonts w:ascii="仿宋_GB2312" w:hAnsi="仿宋_GB2312" w:eastAsia="仿宋_GB2312" w:cs="仿宋_GB2312"/>
                <w:color w:val="auto"/>
                <w:sz w:val="21"/>
                <w:szCs w:val="21"/>
                <w:highlight w:val="none"/>
              </w:rPr>
            </w:pPr>
            <w:r>
              <w:rPr>
                <w:rStyle w:val="26"/>
                <w:rFonts w:hint="eastAsia" w:ascii="仿宋_GB2312" w:hAnsi="仿宋_GB2312" w:eastAsia="仿宋_GB2312" w:cs="仿宋_GB2312"/>
                <w:color w:val="auto"/>
                <w:sz w:val="21"/>
                <w:szCs w:val="21"/>
                <w:highlight w:val="none"/>
                <w:lang w:val="zh-CN"/>
              </w:rPr>
              <w:t>（</w:t>
            </w:r>
            <w:r>
              <w:rPr>
                <w:rStyle w:val="26"/>
                <w:rFonts w:hint="eastAsia" w:ascii="仿宋_GB2312" w:hAnsi="仿宋_GB2312" w:eastAsia="仿宋_GB2312" w:cs="仿宋_GB2312"/>
                <w:color w:val="auto"/>
                <w:sz w:val="21"/>
                <w:szCs w:val="21"/>
                <w:highlight w:val="none"/>
              </w:rPr>
              <w:t>3</w:t>
            </w:r>
            <w:r>
              <w:rPr>
                <w:rStyle w:val="26"/>
                <w:rFonts w:hint="eastAsia" w:ascii="仿宋_GB2312" w:hAnsi="仿宋_GB2312" w:eastAsia="仿宋_GB2312" w:cs="仿宋_GB2312"/>
                <w:color w:val="auto"/>
                <w:sz w:val="21"/>
                <w:szCs w:val="21"/>
                <w:highlight w:val="none"/>
                <w:lang w:val="zh-CN"/>
              </w:rPr>
              <w:t>）评</w:t>
            </w:r>
            <w:r>
              <w:rPr>
                <w:rStyle w:val="26"/>
                <w:rFonts w:hint="eastAsia" w:ascii="仿宋_GB2312" w:hAnsi="仿宋_GB2312" w:eastAsia="仿宋_GB2312" w:cs="仿宋_GB2312"/>
                <w:color w:val="auto"/>
                <w:sz w:val="21"/>
                <w:szCs w:val="21"/>
                <w:highlight w:val="none"/>
              </w:rPr>
              <w:t>审小组</w:t>
            </w:r>
            <w:r>
              <w:rPr>
                <w:rStyle w:val="26"/>
                <w:rFonts w:hint="eastAsia" w:ascii="仿宋_GB2312" w:hAnsi="仿宋_GB2312" w:eastAsia="仿宋_GB2312" w:cs="仿宋_GB2312"/>
                <w:color w:val="auto"/>
                <w:sz w:val="21"/>
                <w:szCs w:val="21"/>
                <w:highlight w:val="none"/>
                <w:lang w:val="zh-CN"/>
              </w:rPr>
              <w:t>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9" w:hRule="exact"/>
        </w:trPr>
        <w:tc>
          <w:tcPr>
            <w:tcW w:w="911" w:type="dxa"/>
            <w:shd w:val="clear" w:color="auto" w:fill="FFFFFF"/>
            <w:vAlign w:val="center"/>
          </w:tcPr>
          <w:p>
            <w:pPr>
              <w:pStyle w:val="23"/>
              <w:shd w:val="clear" w:color="auto" w:fill="auto"/>
              <w:spacing w:before="0" w:line="240" w:lineRule="auto"/>
              <w:ind w:left="42" w:leftChars="20" w:right="42" w:rightChars="20"/>
              <w:jc w:val="center"/>
              <w:rPr>
                <w:rFonts w:ascii="仿宋_GB2312" w:hAnsi="仿宋_GB2312" w:eastAsia="仿宋_GB2312" w:cs="仿宋_GB2312"/>
                <w:color w:val="auto"/>
                <w:sz w:val="21"/>
                <w:szCs w:val="21"/>
                <w:highlight w:val="none"/>
              </w:rPr>
            </w:pPr>
            <w:r>
              <w:rPr>
                <w:rStyle w:val="27"/>
                <w:rFonts w:hint="eastAsia" w:ascii="仿宋_GB2312" w:hAnsi="仿宋_GB2312" w:eastAsia="仿宋_GB2312" w:cs="仿宋_GB2312"/>
                <w:b w:val="0"/>
                <w:color w:val="auto"/>
                <w:sz w:val="21"/>
                <w:szCs w:val="21"/>
                <w:highlight w:val="none"/>
              </w:rPr>
              <w:t>4.4.2</w:t>
            </w:r>
          </w:p>
        </w:tc>
        <w:tc>
          <w:tcPr>
            <w:tcW w:w="1131" w:type="dxa"/>
            <w:shd w:val="clear" w:color="auto" w:fill="FFFFFF"/>
            <w:vAlign w:val="center"/>
          </w:tcPr>
          <w:p>
            <w:pPr>
              <w:pStyle w:val="23"/>
              <w:shd w:val="clear" w:color="auto" w:fill="auto"/>
              <w:spacing w:before="0" w:line="240" w:lineRule="auto"/>
              <w:ind w:left="42" w:leftChars="20" w:right="42" w:rightChars="20"/>
              <w:jc w:val="both"/>
              <w:rPr>
                <w:rFonts w:ascii="仿宋_GB2312" w:hAnsi="仿宋_GB2312" w:eastAsia="仿宋_GB2312" w:cs="仿宋_GB2312"/>
                <w:color w:val="auto"/>
                <w:sz w:val="21"/>
                <w:szCs w:val="21"/>
                <w:highlight w:val="none"/>
              </w:rPr>
            </w:pPr>
            <w:r>
              <w:rPr>
                <w:rStyle w:val="25"/>
                <w:rFonts w:hint="eastAsia" w:ascii="仿宋_GB2312" w:hAnsi="仿宋_GB2312" w:eastAsia="仿宋_GB2312" w:cs="仿宋_GB2312"/>
                <w:color w:val="auto"/>
                <w:sz w:val="21"/>
                <w:szCs w:val="21"/>
                <w:highlight w:val="none"/>
                <w:lang w:val="zh-CN"/>
              </w:rPr>
              <w:t>分值构成 (总分</w:t>
            </w:r>
            <w:r>
              <w:rPr>
                <w:rStyle w:val="27"/>
                <w:rFonts w:hint="eastAsia" w:ascii="仿宋_GB2312" w:hAnsi="仿宋_GB2312" w:eastAsia="仿宋_GB2312" w:cs="仿宋_GB2312"/>
                <w:b w:val="0"/>
                <w:color w:val="auto"/>
                <w:sz w:val="21"/>
                <w:szCs w:val="21"/>
                <w:highlight w:val="none"/>
                <w:lang w:val="zh-CN"/>
              </w:rPr>
              <w:t>100</w:t>
            </w:r>
          </w:p>
          <w:p>
            <w:pPr>
              <w:pStyle w:val="23"/>
              <w:shd w:val="clear" w:color="auto" w:fill="auto"/>
              <w:spacing w:before="0" w:line="240" w:lineRule="auto"/>
              <w:ind w:left="42" w:leftChars="20" w:right="42" w:rightChars="20"/>
              <w:jc w:val="both"/>
              <w:rPr>
                <w:rFonts w:ascii="仿宋_GB2312" w:hAnsi="仿宋_GB2312" w:eastAsia="仿宋_GB2312" w:cs="仿宋_GB2312"/>
                <w:color w:val="auto"/>
                <w:sz w:val="21"/>
                <w:szCs w:val="21"/>
                <w:highlight w:val="none"/>
              </w:rPr>
            </w:pPr>
            <w:r>
              <w:rPr>
                <w:rStyle w:val="25"/>
                <w:rFonts w:hint="eastAsia" w:ascii="仿宋_GB2312" w:hAnsi="仿宋_GB2312" w:eastAsia="仿宋_GB2312" w:cs="仿宋_GB2312"/>
                <w:color w:val="auto"/>
                <w:sz w:val="21"/>
                <w:szCs w:val="21"/>
                <w:highlight w:val="none"/>
                <w:lang w:val="zh-CN"/>
              </w:rPr>
              <w:t>分）</w:t>
            </w:r>
          </w:p>
        </w:tc>
        <w:tc>
          <w:tcPr>
            <w:tcW w:w="7172" w:type="dxa"/>
            <w:shd w:val="clear" w:color="auto" w:fill="FFFFFF"/>
            <w:vAlign w:val="center"/>
          </w:tcPr>
          <w:p>
            <w:pPr>
              <w:pStyle w:val="23"/>
              <w:shd w:val="clear" w:color="auto" w:fill="auto"/>
              <w:spacing w:before="0" w:line="280" w:lineRule="exact"/>
              <w:ind w:left="42" w:leftChars="20" w:right="42" w:rightChars="20"/>
              <w:jc w:val="both"/>
              <w:rPr>
                <w:rFonts w:ascii="仿宋_GB2312" w:hAnsi="仿宋_GB2312" w:eastAsia="仿宋_GB2312" w:cs="仿宋_GB2312"/>
                <w:color w:val="auto"/>
                <w:sz w:val="21"/>
                <w:szCs w:val="21"/>
                <w:highlight w:val="none"/>
              </w:rPr>
            </w:pPr>
            <w:r>
              <w:rPr>
                <w:rStyle w:val="27"/>
                <w:rFonts w:hint="eastAsia" w:ascii="仿宋_GB2312" w:hAnsi="仿宋_GB2312" w:eastAsia="仿宋_GB2312" w:cs="仿宋_GB2312"/>
                <w:b w:val="0"/>
                <w:color w:val="auto"/>
                <w:sz w:val="21"/>
                <w:szCs w:val="21"/>
                <w:highlight w:val="none"/>
                <w:lang w:val="zh-CN"/>
              </w:rPr>
              <w:t>商务及技术文件评分分值构成：</w:t>
            </w:r>
          </w:p>
          <w:p>
            <w:pPr>
              <w:spacing w:line="28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实施方案（A）：</w:t>
            </w:r>
            <w:r>
              <w:rPr>
                <w:rFonts w:hint="eastAsia" w:ascii="仿宋_GB2312" w:hAnsi="仿宋_GB2312" w:eastAsia="仿宋_GB2312" w:cs="仿宋_GB2312"/>
                <w:color w:val="auto"/>
                <w:szCs w:val="21"/>
                <w:highlight w:val="none"/>
                <w:u w:val="single"/>
              </w:rPr>
              <w:t xml:space="preserve"> 40 </w:t>
            </w:r>
            <w:r>
              <w:rPr>
                <w:rFonts w:hint="eastAsia" w:ascii="仿宋_GB2312" w:hAnsi="仿宋_GB2312" w:eastAsia="仿宋_GB2312" w:cs="仿宋_GB2312"/>
                <w:color w:val="auto"/>
                <w:szCs w:val="21"/>
                <w:highlight w:val="none"/>
              </w:rPr>
              <w:t>分</w:t>
            </w:r>
          </w:p>
          <w:p>
            <w:pPr>
              <w:tabs>
                <w:tab w:val="left" w:pos="4094"/>
              </w:tabs>
              <w:spacing w:line="28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主要人员 (B)：</w:t>
            </w:r>
            <w:r>
              <w:rPr>
                <w:rFonts w:hint="eastAsia" w:ascii="仿宋_GB2312" w:hAnsi="仿宋_GB2312" w:eastAsia="仿宋_GB2312" w:cs="仿宋_GB2312"/>
                <w:color w:val="auto"/>
                <w:szCs w:val="21"/>
                <w:highlight w:val="none"/>
                <w:u w:val="single"/>
              </w:rPr>
              <w:t xml:space="preserve"> </w:t>
            </w:r>
            <w:r>
              <w:rPr>
                <w:rFonts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rPr>
              <w:t xml:space="preserve">0 </w:t>
            </w:r>
            <w:r>
              <w:rPr>
                <w:rFonts w:hint="eastAsia" w:ascii="仿宋_GB2312" w:hAnsi="仿宋_GB2312" w:eastAsia="仿宋_GB2312" w:cs="仿宋_GB2312"/>
                <w:color w:val="auto"/>
                <w:szCs w:val="21"/>
                <w:highlight w:val="none"/>
              </w:rPr>
              <w:t>分</w:t>
            </w:r>
            <w:r>
              <w:rPr>
                <w:rFonts w:hint="eastAsia" w:ascii="仿宋_GB2312" w:hAnsi="仿宋_GB2312" w:eastAsia="仿宋_GB2312" w:cs="仿宋_GB2312"/>
                <w:color w:val="auto"/>
                <w:szCs w:val="21"/>
                <w:highlight w:val="none"/>
              </w:rPr>
              <w:tab/>
            </w:r>
          </w:p>
          <w:p>
            <w:pPr>
              <w:spacing w:line="28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其他因素 (D)：   </w:t>
            </w:r>
          </w:p>
          <w:p>
            <w:pPr>
              <w:spacing w:line="280" w:lineRule="exact"/>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业    绩：</w:t>
            </w:r>
            <w:r>
              <w:rPr>
                <w:rFonts w:hint="eastAsia" w:ascii="仿宋_GB2312" w:hAnsi="仿宋_GB2312" w:eastAsia="仿宋_GB2312" w:cs="仿宋_GB2312"/>
                <w:color w:val="auto"/>
                <w:szCs w:val="21"/>
                <w:highlight w:val="none"/>
                <w:u w:val="single"/>
              </w:rPr>
              <w:t xml:space="preserve"> </w:t>
            </w:r>
            <w:r>
              <w:rPr>
                <w:rFonts w:ascii="仿宋_GB2312" w:hAnsi="仿宋_GB2312" w:eastAsia="仿宋_GB2312" w:cs="仿宋_GB2312"/>
                <w:color w:val="auto"/>
                <w:szCs w:val="21"/>
                <w:highlight w:val="none"/>
                <w:u w:val="single"/>
              </w:rPr>
              <w:t>20</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分</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财务能力：</w:t>
            </w:r>
            <w:r>
              <w:rPr>
                <w:rFonts w:hint="eastAsia" w:ascii="仿宋_GB2312" w:hAnsi="仿宋_GB2312" w:eastAsia="仿宋_GB2312" w:cs="仿宋_GB2312"/>
                <w:color w:val="auto"/>
                <w:kern w:val="2"/>
                <w:sz w:val="21"/>
                <w:szCs w:val="21"/>
                <w:highlight w:val="none"/>
                <w:u w:val="single"/>
              </w:rPr>
              <w:t xml:space="preserve"> 10 </w:t>
            </w:r>
            <w:r>
              <w:rPr>
                <w:rFonts w:hint="eastAsia" w:ascii="仿宋_GB2312" w:hAnsi="仿宋_GB2312" w:eastAsia="仿宋_GB2312" w:cs="仿宋_GB2312"/>
                <w:color w:val="auto"/>
                <w:kern w:val="2"/>
                <w:sz w:val="21"/>
                <w:szCs w:val="21"/>
                <w:highlight w:val="none"/>
              </w:rPr>
              <w:t>分</w:t>
            </w:r>
          </w:p>
          <w:p>
            <w:pPr>
              <w:pStyle w:val="23"/>
              <w:shd w:val="clear" w:color="auto" w:fill="auto"/>
              <w:spacing w:before="0" w:line="280" w:lineRule="exact"/>
              <w:ind w:left="42" w:leftChars="20" w:right="42" w:rightChars="20"/>
              <w:jc w:val="both"/>
              <w:rPr>
                <w:rFonts w:ascii="仿宋_GB2312" w:hAnsi="仿宋_GB2312" w:eastAsia="仿宋_GB2312" w:cs="仿宋_GB2312"/>
                <w:color w:val="auto"/>
                <w:sz w:val="21"/>
                <w:szCs w:val="21"/>
                <w:highlight w:val="none"/>
              </w:rPr>
            </w:pPr>
            <w:r>
              <w:rPr>
                <w:rStyle w:val="27"/>
                <w:rFonts w:hint="eastAsia" w:ascii="仿宋_GB2312" w:hAnsi="仿宋_GB2312" w:eastAsia="仿宋_GB2312" w:cs="仿宋_GB2312"/>
                <w:b w:val="0"/>
                <w:color w:val="auto"/>
                <w:sz w:val="21"/>
                <w:szCs w:val="21"/>
                <w:highlight w:val="none"/>
                <w:lang w:val="zh-CN"/>
              </w:rPr>
              <w:t>报价评分分值构成：</w:t>
            </w:r>
          </w:p>
          <w:p>
            <w:pPr>
              <w:pStyle w:val="23"/>
              <w:shd w:val="clear" w:color="auto" w:fill="auto"/>
              <w:spacing w:before="0" w:line="280" w:lineRule="exact"/>
              <w:ind w:left="42" w:leftChars="20" w:right="42" w:rightChars="20"/>
              <w:jc w:val="both"/>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评标价(C)：</w:t>
            </w:r>
            <w:r>
              <w:rPr>
                <w:rFonts w:hint="eastAsia" w:ascii="仿宋_GB2312" w:hAnsi="仿宋_GB2312" w:eastAsia="仿宋_GB2312" w:cs="仿宋_GB2312"/>
                <w:color w:val="auto"/>
                <w:sz w:val="21"/>
                <w:szCs w:val="21"/>
                <w:highlight w:val="none"/>
                <w:u w:val="single"/>
              </w:rPr>
              <w:t xml:space="preserve"> </w:t>
            </w:r>
            <w:r>
              <w:rPr>
                <w:rFonts w:ascii="仿宋_GB2312" w:hAnsi="仿宋_GB2312" w:eastAsia="仿宋_GB2312" w:cs="仿宋_GB2312"/>
                <w:color w:val="auto"/>
                <w:sz w:val="21"/>
                <w:szCs w:val="21"/>
                <w:highlight w:val="none"/>
                <w:u w:val="single"/>
              </w:rPr>
              <w:t>2</w:t>
            </w:r>
            <w:r>
              <w:rPr>
                <w:rFonts w:hint="eastAsia" w:ascii="仿宋_GB2312" w:hAnsi="仿宋_GB2312" w:eastAsia="仿宋_GB2312" w:cs="仿宋_GB2312"/>
                <w:color w:val="auto"/>
                <w:sz w:val="21"/>
                <w:szCs w:val="21"/>
                <w:highlight w:val="none"/>
                <w:u w:val="single"/>
              </w:rPr>
              <w:t xml:space="preserve">0 </w:t>
            </w:r>
            <w:r>
              <w:rPr>
                <w:rFonts w:hint="eastAsia" w:ascii="仿宋_GB2312" w:hAnsi="仿宋_GB2312" w:eastAsia="仿宋_GB2312" w:cs="仿宋_GB2312"/>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0" w:hRule="exact"/>
        </w:trPr>
        <w:tc>
          <w:tcPr>
            <w:tcW w:w="911" w:type="dxa"/>
            <w:shd w:val="clear" w:color="auto" w:fill="FFFFFF"/>
            <w:vAlign w:val="center"/>
          </w:tcPr>
          <w:p>
            <w:pPr>
              <w:ind w:left="42" w:leftChars="20" w:right="42" w:rightChars="20"/>
              <w:jc w:val="center"/>
              <w:rPr>
                <w:rFonts w:ascii="仿宋_GB2312" w:hAnsi="仿宋_GB2312" w:eastAsia="仿宋_GB2312" w:cs="仿宋_GB2312"/>
                <w:color w:val="auto"/>
                <w:spacing w:val="20"/>
                <w:szCs w:val="21"/>
                <w:highlight w:val="none"/>
              </w:rPr>
            </w:pPr>
            <w:r>
              <w:rPr>
                <w:rFonts w:hint="eastAsia" w:ascii="仿宋_GB2312" w:hAnsi="仿宋_GB2312" w:eastAsia="仿宋_GB2312" w:cs="仿宋_GB2312"/>
                <w:color w:val="auto"/>
                <w:szCs w:val="21"/>
                <w:highlight w:val="none"/>
              </w:rPr>
              <w:t>4.4.3</w:t>
            </w:r>
          </w:p>
        </w:tc>
        <w:tc>
          <w:tcPr>
            <w:tcW w:w="1131" w:type="dxa"/>
            <w:shd w:val="clear" w:color="auto" w:fill="FFFFFF"/>
            <w:vAlign w:val="center"/>
          </w:tcPr>
          <w:p>
            <w:pPr>
              <w:ind w:left="42" w:leftChars="20" w:right="42" w:rightChars="20"/>
              <w:jc w:val="center"/>
              <w:rPr>
                <w:rFonts w:ascii="仿宋_GB2312" w:hAnsi="仿宋_GB2312" w:eastAsia="仿宋_GB2312" w:cs="仿宋_GB2312"/>
                <w:color w:val="auto"/>
                <w:spacing w:val="20"/>
                <w:szCs w:val="21"/>
                <w:highlight w:val="none"/>
              </w:rPr>
            </w:pPr>
            <w:r>
              <w:rPr>
                <w:rFonts w:hint="eastAsia" w:ascii="仿宋_GB2312" w:hAnsi="仿宋_GB2312" w:eastAsia="仿宋_GB2312" w:cs="仿宋_GB2312"/>
                <w:color w:val="auto"/>
                <w:szCs w:val="21"/>
                <w:highlight w:val="none"/>
              </w:rPr>
              <w:t>评标基准价计算方法</w:t>
            </w:r>
          </w:p>
        </w:tc>
        <w:tc>
          <w:tcPr>
            <w:tcW w:w="7172" w:type="dxa"/>
            <w:shd w:val="clear" w:color="auto" w:fill="FFFFFF"/>
            <w:vAlign w:val="center"/>
          </w:tcPr>
          <w:p>
            <w:pPr>
              <w:spacing w:line="30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评标基准价的计算：</w:t>
            </w:r>
          </w:p>
          <w:p>
            <w:pPr>
              <w:pStyle w:val="23"/>
              <w:shd w:val="clear" w:color="auto" w:fill="auto"/>
              <w:spacing w:before="0" w:line="300" w:lineRule="exact"/>
              <w:ind w:left="42" w:leftChars="20" w:right="42" w:rightChars="20"/>
              <w:jc w:val="left"/>
              <w:rPr>
                <w:rFonts w:ascii="仿宋_GB2312" w:hAnsi="仿宋_GB2312" w:eastAsia="仿宋_GB2312" w:cs="仿宋_GB2312"/>
                <w:color w:val="auto"/>
                <w:sz w:val="21"/>
                <w:szCs w:val="21"/>
                <w:highlight w:val="none"/>
                <w:lang w:val="zh-CN"/>
              </w:rPr>
            </w:pPr>
            <w:r>
              <w:rPr>
                <w:rStyle w:val="25"/>
                <w:rFonts w:hint="eastAsia" w:ascii="仿宋_GB2312" w:hAnsi="仿宋_GB2312" w:eastAsia="仿宋_GB2312" w:cs="仿宋_GB2312"/>
                <w:color w:val="auto"/>
                <w:sz w:val="21"/>
                <w:szCs w:val="21"/>
                <w:highlight w:val="none"/>
                <w:lang w:val="zh-CN"/>
              </w:rPr>
              <w:t>在开标现场，招标人将当场计算并宣布评标基准价。</w:t>
            </w:r>
          </w:p>
          <w:p>
            <w:pPr>
              <w:pStyle w:val="23"/>
              <w:shd w:val="clear" w:color="auto" w:fill="auto"/>
              <w:tabs>
                <w:tab w:val="left" w:pos="413"/>
              </w:tabs>
              <w:spacing w:before="0" w:line="300" w:lineRule="exact"/>
              <w:ind w:right="42" w:rightChars="20"/>
              <w:jc w:val="both"/>
              <w:rPr>
                <w:rFonts w:ascii="仿宋_GB2312" w:hAnsi="仿宋_GB2312" w:eastAsia="仿宋_GB2312" w:cs="仿宋_GB2312"/>
                <w:color w:val="auto"/>
                <w:sz w:val="21"/>
                <w:szCs w:val="21"/>
                <w:highlight w:val="none"/>
                <w:lang w:val="zh-CN"/>
              </w:rPr>
            </w:pPr>
            <w:r>
              <w:rPr>
                <w:rFonts w:hint="eastAsia" w:ascii="仿宋_GB2312" w:hAnsi="仿宋_GB2312" w:eastAsia="仿宋_GB2312" w:cs="仿宋_GB2312"/>
                <w:color w:val="auto"/>
                <w:sz w:val="21"/>
                <w:szCs w:val="21"/>
                <w:highlight w:val="none"/>
              </w:rPr>
              <w:t>(1)</w:t>
            </w:r>
            <w:r>
              <w:rPr>
                <w:rStyle w:val="25"/>
                <w:rFonts w:hint="eastAsia" w:ascii="仿宋_GB2312" w:hAnsi="仿宋_GB2312" w:eastAsia="仿宋_GB2312" w:cs="仿宋_GB2312"/>
                <w:color w:val="auto"/>
                <w:sz w:val="21"/>
                <w:szCs w:val="21"/>
                <w:highlight w:val="none"/>
                <w:lang w:val="zh-CN"/>
              </w:rPr>
              <w:t>评标价的确定：</w:t>
            </w:r>
          </w:p>
          <w:p>
            <w:pPr>
              <w:pStyle w:val="23"/>
              <w:shd w:val="clear" w:color="auto" w:fill="auto"/>
              <w:spacing w:before="0" w:line="300" w:lineRule="exact"/>
              <w:ind w:left="42" w:leftChars="20" w:right="42" w:rightChars="20"/>
              <w:jc w:val="left"/>
              <w:rPr>
                <w:rStyle w:val="25"/>
                <w:rFonts w:ascii="仿宋_GB2312" w:hAnsi="仿宋_GB2312" w:eastAsia="仿宋_GB2312" w:cs="仿宋_GB2312"/>
                <w:color w:val="auto"/>
                <w:sz w:val="21"/>
                <w:szCs w:val="21"/>
                <w:highlight w:val="none"/>
              </w:rPr>
            </w:pPr>
            <w:r>
              <w:rPr>
                <w:rStyle w:val="25"/>
                <w:rFonts w:hint="eastAsia" w:ascii="仿宋_GB2312" w:hAnsi="仿宋_GB2312" w:eastAsia="仿宋_GB2312" w:cs="仿宋_GB2312"/>
                <w:color w:val="auto"/>
                <w:sz w:val="21"/>
                <w:szCs w:val="21"/>
                <w:highlight w:val="none"/>
                <w:lang w:val="zh-CN"/>
              </w:rPr>
              <w:t>评标价=投标函文字报价</w:t>
            </w:r>
          </w:p>
          <w:p>
            <w:pPr>
              <w:spacing w:line="30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snapToGrid w:val="0"/>
                <w:color w:val="auto"/>
                <w:szCs w:val="21"/>
                <w:highlight w:val="none"/>
              </w:rPr>
              <w:t xml:space="preserve"> 最高评标限价的确定</w:t>
            </w:r>
          </w:p>
          <w:p>
            <w:pPr>
              <w:spacing w:line="300" w:lineRule="exact"/>
              <w:ind w:left="42" w:leftChars="20" w:right="42" w:rightChars="20" w:firstLine="420" w:firstLineChars="200"/>
              <w:rPr>
                <w:rFonts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szCs w:val="21"/>
                <w:highlight w:val="none"/>
              </w:rPr>
              <w:t>最高评标限价＝该标段最高限价×（1-下浮率）</w:t>
            </w:r>
          </w:p>
          <w:p>
            <w:pPr>
              <w:spacing w:line="300" w:lineRule="exact"/>
              <w:ind w:left="42" w:leftChars="20" w:right="42" w:rightChars="20" w:firstLine="420" w:firstLineChars="200"/>
              <w:rPr>
                <w:rFonts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szCs w:val="21"/>
                <w:highlight w:val="none"/>
              </w:rPr>
              <w:t>最高限价：见招标公告</w:t>
            </w:r>
          </w:p>
          <w:p>
            <w:pPr>
              <w:spacing w:line="300" w:lineRule="exact"/>
              <w:ind w:left="42" w:leftChars="20" w:right="42" w:rightChars="20" w:firstLine="420" w:firstLineChars="200"/>
              <w:rPr>
                <w:rFonts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szCs w:val="21"/>
                <w:highlight w:val="none"/>
              </w:rPr>
              <w:t>下浮率为</w:t>
            </w:r>
            <w:r>
              <w:rPr>
                <w:rFonts w:hint="eastAsia" w:ascii="仿宋_GB2312" w:hAnsi="仿宋_GB2312" w:eastAsia="仿宋_GB2312" w:cs="仿宋_GB2312"/>
                <w:snapToGrid w:val="0"/>
                <w:color w:val="auto"/>
                <w:szCs w:val="21"/>
                <w:highlight w:val="none"/>
                <w:u w:val="single"/>
              </w:rPr>
              <w:t xml:space="preserve">  </w:t>
            </w:r>
            <w:r>
              <w:rPr>
                <w:rFonts w:ascii="仿宋_GB2312" w:hAnsi="仿宋_GB2312" w:eastAsia="仿宋_GB2312" w:cs="仿宋_GB2312"/>
                <w:snapToGrid w:val="0"/>
                <w:color w:val="auto"/>
                <w:szCs w:val="21"/>
                <w:highlight w:val="none"/>
                <w:u w:val="single"/>
              </w:rPr>
              <w:t>1</w:t>
            </w:r>
            <w:r>
              <w:rPr>
                <w:rFonts w:hint="eastAsia" w:ascii="仿宋_GB2312" w:hAnsi="仿宋_GB2312" w:eastAsia="仿宋_GB2312" w:cs="仿宋_GB2312"/>
                <w:snapToGrid w:val="0"/>
                <w:color w:val="auto"/>
                <w:szCs w:val="21"/>
                <w:highlight w:val="none"/>
                <w:u w:val="single"/>
              </w:rPr>
              <w:t xml:space="preserve">  </w:t>
            </w:r>
            <w:r>
              <w:rPr>
                <w:rFonts w:hint="eastAsia" w:ascii="仿宋_GB2312" w:hAnsi="仿宋_GB2312" w:eastAsia="仿宋_GB2312" w:cs="仿宋_GB2312"/>
                <w:snapToGrid w:val="0"/>
                <w:color w:val="auto"/>
                <w:szCs w:val="21"/>
                <w:highlight w:val="none"/>
              </w:rPr>
              <w:t>%。</w:t>
            </w:r>
          </w:p>
          <w:p>
            <w:pPr>
              <w:spacing w:line="300" w:lineRule="exact"/>
              <w:ind w:left="42" w:leftChars="20" w:right="42" w:rightChars="20"/>
              <w:rPr>
                <w:rFonts w:ascii="仿宋_GB2312" w:hAnsi="仿宋_GB2312" w:eastAsia="仿宋_GB2312" w:cs="仿宋_GB2312"/>
                <w:snapToGrid w:val="0"/>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snapToGrid w:val="0"/>
                <w:color w:val="auto"/>
                <w:szCs w:val="21"/>
                <w:highlight w:val="none"/>
              </w:rPr>
              <w:t xml:space="preserve"> </w:t>
            </w:r>
            <w:r>
              <w:rPr>
                <w:rFonts w:hint="eastAsia" w:ascii="仿宋_GB2312" w:hAnsi="仿宋_GB2312" w:eastAsia="仿宋_GB2312" w:cs="仿宋_GB2312"/>
                <w:color w:val="auto"/>
                <w:szCs w:val="21"/>
                <w:highlight w:val="none"/>
              </w:rPr>
              <w:t>有效评标价范围：</w:t>
            </w:r>
          </w:p>
          <w:p>
            <w:pPr>
              <w:spacing w:line="300" w:lineRule="exact"/>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snapToGrid w:val="0"/>
                <w:color w:val="auto"/>
                <w:szCs w:val="21"/>
                <w:highlight w:val="none"/>
              </w:rPr>
              <w:t>有效评标价范围：</w:t>
            </w:r>
            <w:r>
              <w:rPr>
                <w:rFonts w:hint="eastAsia" w:ascii="仿宋_GB2312" w:hAnsi="仿宋_GB2312" w:eastAsia="仿宋_GB2312" w:cs="仿宋_GB2312"/>
                <w:color w:val="auto"/>
                <w:szCs w:val="21"/>
                <w:highlight w:val="none"/>
              </w:rPr>
              <w:t>不大于最高评标限价的评标价为</w:t>
            </w:r>
            <w:r>
              <w:rPr>
                <w:rFonts w:hint="eastAsia" w:ascii="仿宋_GB2312" w:hAnsi="仿宋_GB2312" w:eastAsia="仿宋_GB2312" w:cs="仿宋_GB2312"/>
                <w:snapToGrid w:val="0"/>
                <w:color w:val="auto"/>
                <w:szCs w:val="21"/>
                <w:highlight w:val="none"/>
              </w:rPr>
              <w:t>有效评标价</w:t>
            </w:r>
            <w:r>
              <w:rPr>
                <w:rFonts w:hint="eastAsia" w:ascii="仿宋_GB2312" w:hAnsi="仿宋_GB2312" w:eastAsia="仿宋_GB2312" w:cs="仿宋_GB2312"/>
                <w:color w:val="auto"/>
                <w:szCs w:val="21"/>
                <w:highlight w:val="none"/>
              </w:rPr>
              <w:t>。若大于最高评标限价的评标价，将否决其投标。</w:t>
            </w:r>
          </w:p>
          <w:p>
            <w:pPr>
              <w:spacing w:line="30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(4)评标基准价的计算：</w:t>
            </w:r>
          </w:p>
          <w:p>
            <w:pPr>
              <w:spacing w:line="300" w:lineRule="exact"/>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snapToGrid w:val="0"/>
                <w:color w:val="auto"/>
                <w:szCs w:val="21"/>
                <w:highlight w:val="none"/>
              </w:rPr>
              <w:t>参与评标基准价计算的评标价范围：参与评标基准价计算的评标价</w:t>
            </w:r>
            <w:r>
              <w:rPr>
                <w:rFonts w:hint="eastAsia" w:ascii="仿宋_GB2312" w:hAnsi="仿宋_GB2312" w:eastAsia="仿宋_GB2312" w:cs="仿宋_GB2312"/>
                <w:color w:val="auto"/>
                <w:szCs w:val="21"/>
                <w:highlight w:val="none"/>
              </w:rPr>
              <w:t>≤最高评标限价的100%。</w:t>
            </w:r>
          </w:p>
          <w:p>
            <w:pPr>
              <w:spacing w:line="300" w:lineRule="exact"/>
              <w:ind w:left="42" w:leftChars="20" w:right="42" w:rightChars="20" w:firstLine="420" w:firstLineChars="200"/>
              <w:rPr>
                <w:rFonts w:ascii="仿宋_GB2312" w:hAnsi="仿宋_GB2312" w:eastAsia="仿宋_GB2312" w:cs="仿宋_GB2312"/>
                <w:b/>
                <w:bCs/>
                <w:snapToGrid w:val="0"/>
                <w:color w:val="auto"/>
                <w:szCs w:val="21"/>
                <w:highlight w:val="none"/>
              </w:rPr>
            </w:pPr>
            <w:r>
              <w:rPr>
                <w:rFonts w:hint="eastAsia" w:ascii="仿宋_GB2312" w:hAnsi="仿宋_GB2312" w:eastAsia="仿宋_GB2312" w:cs="仿宋_GB2312"/>
                <w:snapToGrid w:val="0"/>
                <w:color w:val="auto"/>
                <w:szCs w:val="21"/>
                <w:highlight w:val="none"/>
              </w:rPr>
              <w:t>参与评标基准价的评标价平均值计算：</w:t>
            </w:r>
            <w:r>
              <w:rPr>
                <w:rStyle w:val="25"/>
                <w:rFonts w:hint="eastAsia" w:ascii="仿宋_GB2312" w:hAnsi="仿宋_GB2312" w:eastAsia="仿宋_GB2312" w:cs="仿宋_GB2312"/>
                <w:color w:val="auto"/>
                <w:sz w:val="21"/>
                <w:szCs w:val="21"/>
                <w:highlight w:val="none"/>
              </w:rPr>
              <w:t>除按第二章“投标人须知”第20.5款项规定投标文件开启现场被宣布为不进入评标基准价计算的投标报价之外</w:t>
            </w:r>
            <w:r>
              <w:rPr>
                <w:rFonts w:hint="eastAsia" w:ascii="仿宋_GB2312" w:hAnsi="仿宋_GB2312" w:eastAsia="仿宋_GB2312" w:cs="仿宋_GB2312"/>
                <w:color w:val="auto"/>
                <w:szCs w:val="21"/>
                <w:highlight w:val="none"/>
              </w:rPr>
              <w:t>，在上述确定的</w:t>
            </w:r>
            <w:r>
              <w:rPr>
                <w:rFonts w:hint="eastAsia" w:ascii="仿宋_GB2312" w:hAnsi="仿宋_GB2312" w:eastAsia="仿宋_GB2312" w:cs="仿宋_GB2312"/>
                <w:snapToGrid w:val="0"/>
                <w:color w:val="auto"/>
                <w:szCs w:val="21"/>
                <w:highlight w:val="none"/>
              </w:rPr>
              <w:t>参与评标基准价计算范围内的评标价</w:t>
            </w:r>
            <w:r>
              <w:rPr>
                <w:rFonts w:hint="eastAsia" w:ascii="仿宋_GB2312" w:hAnsi="仿宋_GB2312" w:eastAsia="仿宋_GB2312" w:cs="仿宋_GB2312"/>
                <w:color w:val="auto"/>
                <w:szCs w:val="21"/>
                <w:highlight w:val="none"/>
              </w:rPr>
              <w:t>的算术平均值即为</w:t>
            </w:r>
            <w:r>
              <w:rPr>
                <w:rFonts w:hint="eastAsia" w:ascii="仿宋_GB2312" w:hAnsi="仿宋_GB2312" w:eastAsia="仿宋_GB2312" w:cs="仿宋_GB2312"/>
                <w:snapToGrid w:val="0"/>
                <w:color w:val="auto"/>
                <w:szCs w:val="21"/>
                <w:highlight w:val="none"/>
              </w:rPr>
              <w:t>参与评标基准价计算的有效</w:t>
            </w:r>
            <w:r>
              <w:rPr>
                <w:rFonts w:hint="eastAsia" w:ascii="仿宋_GB2312" w:hAnsi="仿宋_GB2312" w:eastAsia="仿宋_GB2312" w:cs="仿宋_GB2312"/>
                <w:color w:val="auto"/>
                <w:szCs w:val="21"/>
                <w:highlight w:val="none"/>
              </w:rPr>
              <w:t>评标价平均值。</w:t>
            </w:r>
          </w:p>
          <w:p>
            <w:pPr>
              <w:spacing w:line="300" w:lineRule="exact"/>
              <w:ind w:left="42" w:leftChars="20" w:right="42" w:rightChars="20" w:firstLine="422" w:firstLineChars="200"/>
              <w:rPr>
                <w:rFonts w:ascii="仿宋_GB2312" w:hAnsi="仿宋_GB2312" w:eastAsia="仿宋_GB2312" w:cs="仿宋_GB2312"/>
                <w:b/>
                <w:bCs/>
                <w:snapToGrid w:val="0"/>
                <w:color w:val="auto"/>
                <w:szCs w:val="21"/>
                <w:highlight w:val="none"/>
              </w:rPr>
            </w:pPr>
            <w:r>
              <w:rPr>
                <w:rFonts w:hint="eastAsia" w:ascii="仿宋_GB2312" w:hAnsi="仿宋_GB2312" w:eastAsia="仿宋_GB2312" w:cs="仿宋_GB2312"/>
                <w:b/>
                <w:bCs/>
                <w:snapToGrid w:val="0"/>
                <w:color w:val="auto"/>
                <w:szCs w:val="21"/>
                <w:highlight w:val="none"/>
              </w:rPr>
              <w:t>即使某投标文件未通过形式评审与响应性评审，如其报价处于参与评标基准价计算的评标价的有效范围内，其评标价仍应参与有效评标价平均值的计算。</w:t>
            </w:r>
          </w:p>
          <w:p>
            <w:pPr>
              <w:spacing w:line="300" w:lineRule="exact"/>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(5)评标基准价的确定：</w:t>
            </w:r>
            <w:r>
              <w:rPr>
                <w:rFonts w:ascii="仿宋_GB2312" w:hAnsi="仿宋_GB2312" w:eastAsia="仿宋_GB2312" w:cs="仿宋_GB2312"/>
                <w:color w:val="auto"/>
                <w:szCs w:val="21"/>
                <w:highlight w:val="none"/>
              </w:rPr>
              <w:t xml:space="preserve"> </w:t>
            </w:r>
          </w:p>
          <w:p>
            <w:pPr>
              <w:spacing w:line="300" w:lineRule="exact"/>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snapToGrid w:val="0"/>
                <w:color w:val="auto"/>
                <w:szCs w:val="21"/>
                <w:highlight w:val="none"/>
              </w:rPr>
              <w:t>评标基准价=参与评标基准价计算的有效评标价的平均值；</w:t>
            </w:r>
          </w:p>
          <w:p>
            <w:pPr>
              <w:spacing w:line="300" w:lineRule="exact"/>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备注：最高评标限价、评标基准价四舍五入至个位整数。</w:t>
            </w:r>
          </w:p>
          <w:p>
            <w:pPr>
              <w:spacing w:line="300" w:lineRule="exact"/>
              <w:ind w:left="42" w:leftChars="20" w:right="42" w:rightChars="20" w:firstLine="315" w:firstLineChars="150"/>
              <w:rPr>
                <w:color w:val="auto"/>
                <w:highlight w:val="none"/>
              </w:rPr>
            </w:pPr>
            <w:r>
              <w:rPr>
                <w:rFonts w:hint="eastAsia" w:ascii="仿宋" w:hAnsi="仿宋" w:eastAsia="仿宋" w:cs="仿宋_GB2312"/>
                <w:snapToGrid w:val="0"/>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exact"/>
        </w:trPr>
        <w:tc>
          <w:tcPr>
            <w:tcW w:w="911" w:type="dxa"/>
            <w:shd w:val="clear" w:color="auto" w:fill="FFFFFF"/>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4.4.4</w:t>
            </w:r>
          </w:p>
        </w:tc>
        <w:tc>
          <w:tcPr>
            <w:tcW w:w="1131" w:type="dxa"/>
            <w:shd w:val="clear" w:color="auto" w:fill="FFFFFF"/>
            <w:vAlign w:val="center"/>
          </w:tcPr>
          <w:p>
            <w:pPr>
              <w:spacing w:line="240" w:lineRule="atLeast"/>
              <w:ind w:left="42" w:leftChars="20" w:right="42" w:rightChars="20"/>
              <w:jc w:val="center"/>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评标价的偏差率计算公式</w:t>
            </w:r>
          </w:p>
        </w:tc>
        <w:tc>
          <w:tcPr>
            <w:tcW w:w="7172" w:type="dxa"/>
            <w:shd w:val="clear" w:color="auto" w:fill="FFFFFF"/>
            <w:vAlign w:val="center"/>
          </w:tcPr>
          <w:p>
            <w:pPr>
              <w:ind w:left="42" w:leftChars="20" w:right="42" w:rightChars="2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偏差率=100% ×(投标人评标价－评标基准价)/评标基准价</w:t>
            </w:r>
          </w:p>
        </w:tc>
      </w:tr>
    </w:tbl>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ind w:firstLine="0" w:firstLineChars="0"/>
        <w:rPr>
          <w:color w:val="auto"/>
          <w:highlight w:val="none"/>
        </w:rPr>
      </w:pPr>
    </w:p>
    <w:tbl>
      <w:tblPr>
        <w:tblStyle w:val="14"/>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65"/>
        <w:gridCol w:w="1058"/>
        <w:gridCol w:w="1046"/>
        <w:gridCol w:w="1099"/>
        <w:gridCol w:w="856"/>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89" w:type="dxa"/>
            <w:gridSpan w:val="6"/>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评分因素与权重分值</w:t>
            </w:r>
          </w:p>
        </w:tc>
        <w:tc>
          <w:tcPr>
            <w:tcW w:w="2828" w:type="dxa"/>
            <w:vMerge w:val="restart"/>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5" w:type="dxa"/>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条款号</w:t>
            </w:r>
          </w:p>
        </w:tc>
        <w:tc>
          <w:tcPr>
            <w:tcW w:w="1723" w:type="dxa"/>
            <w:gridSpan w:val="2"/>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评分因素</w:t>
            </w:r>
          </w:p>
        </w:tc>
        <w:tc>
          <w:tcPr>
            <w:tcW w:w="1046" w:type="dxa"/>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评分因素权重分值</w:t>
            </w:r>
          </w:p>
        </w:tc>
        <w:tc>
          <w:tcPr>
            <w:tcW w:w="1099" w:type="dxa"/>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各评分因素细分项</w:t>
            </w:r>
          </w:p>
        </w:tc>
        <w:tc>
          <w:tcPr>
            <w:tcW w:w="856" w:type="dxa"/>
            <w:vAlign w:val="center"/>
          </w:tcPr>
          <w:p>
            <w:pPr>
              <w:ind w:left="42" w:leftChars="20" w:right="42" w:rightChars="20"/>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分值</w:t>
            </w:r>
          </w:p>
        </w:tc>
        <w:tc>
          <w:tcPr>
            <w:tcW w:w="2828" w:type="dxa"/>
            <w:vMerge w:val="continue"/>
          </w:tcPr>
          <w:p>
            <w:pPr>
              <w:ind w:left="42" w:leftChars="20" w:right="42" w:rightChars="2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4.4.5</w:t>
            </w:r>
          </w:p>
        </w:tc>
        <w:tc>
          <w:tcPr>
            <w:tcW w:w="1723" w:type="dxa"/>
            <w:gridSpan w:val="2"/>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实施方案</w:t>
            </w:r>
          </w:p>
        </w:tc>
        <w:tc>
          <w:tcPr>
            <w:tcW w:w="1046"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40 </w:t>
            </w:r>
            <w:r>
              <w:rPr>
                <w:rFonts w:hint="eastAsia" w:ascii="仿宋_GB2312" w:hAnsi="仿宋_GB2312" w:eastAsia="仿宋_GB2312" w:cs="仿宋_GB2312"/>
                <w:color w:val="auto"/>
                <w:szCs w:val="21"/>
                <w:highlight w:val="none"/>
              </w:rPr>
              <w:t>分</w:t>
            </w:r>
          </w:p>
        </w:tc>
        <w:tc>
          <w:tcPr>
            <w:tcW w:w="1099" w:type="dxa"/>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实施方案</w:t>
            </w:r>
          </w:p>
        </w:tc>
        <w:tc>
          <w:tcPr>
            <w:tcW w:w="856" w:type="dxa"/>
            <w:vAlign w:val="center"/>
          </w:tcPr>
          <w:p>
            <w:pPr>
              <w:ind w:right="42" w:rightChars="20"/>
              <w:jc w:val="center"/>
              <w:rPr>
                <w:rFonts w:ascii="仿宋_GB2312" w:hAnsi="仿宋_GB2312" w:eastAsia="仿宋_GB2312" w:cs="仿宋_GB2312"/>
                <w:color w:val="auto"/>
                <w:szCs w:val="21"/>
                <w:highlight w:val="none"/>
              </w:rPr>
            </w:pPr>
            <w:r>
              <w:rPr>
                <w:rStyle w:val="24"/>
                <w:rFonts w:hint="eastAsia" w:ascii="仿宋_GB2312" w:hAnsi="仿宋_GB2312" w:eastAsia="仿宋_GB2312" w:cs="仿宋_GB2312"/>
                <w:color w:val="auto"/>
                <w:sz w:val="21"/>
                <w:szCs w:val="21"/>
                <w:highlight w:val="none"/>
                <w:u w:val="single"/>
              </w:rPr>
              <w:t>40</w:t>
            </w:r>
            <w:r>
              <w:rPr>
                <w:rFonts w:hint="eastAsia" w:ascii="仿宋_GB2312" w:hAnsi="仿宋_GB2312" w:eastAsia="仿宋_GB2312" w:cs="仿宋_GB2312"/>
                <w:color w:val="auto"/>
                <w:szCs w:val="21"/>
                <w:highlight w:val="none"/>
              </w:rPr>
              <w:t>分</w:t>
            </w:r>
          </w:p>
        </w:tc>
        <w:tc>
          <w:tcPr>
            <w:tcW w:w="2828" w:type="dxa"/>
            <w:vAlign w:val="center"/>
          </w:tcPr>
          <w:p>
            <w:pPr>
              <w:tabs>
                <w:tab w:val="left" w:pos="380"/>
                <w:tab w:val="left" w:pos="840"/>
                <w:tab w:val="left" w:pos="1260"/>
              </w:tabs>
              <w:snapToGrid w:val="0"/>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（1）对本项目的特点和重点的分析全面且具有条理，对关键性技术问题的建议合理和措施可行，对项目所在地用地情况熟悉，工作流程清晰。得 </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r>
              <w:rPr>
                <w:rFonts w:ascii="仿宋_GB2312" w:hAnsi="仿宋_GB2312" w:eastAsia="仿宋_GB2312" w:cs="仿宋_GB2312"/>
                <w:color w:val="auto"/>
                <w:szCs w:val="21"/>
                <w:highlight w:val="none"/>
              </w:rPr>
              <w:t>26-40</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 xml:space="preserve"> 分；</w:t>
            </w:r>
          </w:p>
          <w:p>
            <w:pPr>
              <w:tabs>
                <w:tab w:val="left" w:pos="380"/>
                <w:tab w:val="left" w:pos="840"/>
                <w:tab w:val="left" w:pos="1260"/>
              </w:tabs>
              <w:snapToGrid w:val="0"/>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（2）对本项目设计的特点和重点的分析较为全面且具有条理，对关键性技术问题的建议合理和措施比较可行，对项目所在地用地情况较熟悉，工作流程较清晰，得 </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r>
              <w:rPr>
                <w:rFonts w:ascii="仿宋_GB2312" w:hAnsi="仿宋_GB2312" w:eastAsia="仿宋_GB2312" w:cs="仿宋_GB2312"/>
                <w:color w:val="auto"/>
                <w:szCs w:val="21"/>
                <w:highlight w:val="none"/>
              </w:rPr>
              <w:t>16-2</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分；</w:t>
            </w:r>
          </w:p>
          <w:p>
            <w:pPr>
              <w:tabs>
                <w:tab w:val="left" w:pos="380"/>
                <w:tab w:val="left" w:pos="840"/>
                <w:tab w:val="left" w:pos="1260"/>
              </w:tabs>
              <w:snapToGrid w:val="0"/>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（3）对本项目的特点和重点的分析不够全面或条理不够清晰，对关键性技术问题的建议不够合理或措施不到位，得 </w:t>
            </w:r>
            <w:r>
              <w:rPr>
                <w:rFonts w:hint="eastAsia" w:ascii="仿宋_GB2312" w:hAnsi="仿宋_GB2312" w:eastAsia="仿宋_GB2312" w:cs="仿宋_GB2312"/>
                <w:color w:val="auto"/>
                <w:szCs w:val="21"/>
                <w:highlight w:val="none"/>
                <w:lang w:val="en-US" w:eastAsia="zh-CN"/>
              </w:rPr>
              <w:t xml:space="preserve">[ </w:t>
            </w:r>
            <w:r>
              <w:rPr>
                <w:rFonts w:ascii="仿宋_GB2312" w:hAnsi="仿宋_GB2312" w:eastAsia="仿宋_GB2312" w:cs="仿宋_GB2312"/>
                <w:color w:val="auto"/>
                <w:szCs w:val="21"/>
                <w:highlight w:val="none"/>
              </w:rPr>
              <w:t>0-1</w:t>
            </w:r>
            <w:r>
              <w:rPr>
                <w:rFonts w:hint="eastAsia" w:ascii="仿宋_GB2312" w:hAnsi="仿宋_GB2312" w:eastAsia="仿宋_GB2312" w:cs="仿宋_GB2312"/>
                <w:color w:val="auto"/>
                <w:szCs w:val="21"/>
                <w:highlight w:val="none"/>
                <w:lang w:val="en-US" w:eastAsia="zh-CN"/>
              </w:rPr>
              <w:t>6 ]</w:t>
            </w:r>
            <w:r>
              <w:rPr>
                <w:rFonts w:hint="eastAsia" w:ascii="仿宋_GB2312" w:hAnsi="仿宋_GB2312" w:eastAsia="仿宋_GB2312" w:cs="仿宋_GB2312"/>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4.4.6</w:t>
            </w:r>
          </w:p>
        </w:tc>
        <w:tc>
          <w:tcPr>
            <w:tcW w:w="1723" w:type="dxa"/>
            <w:gridSpan w:val="2"/>
            <w:vMerge w:val="restart"/>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主要人员</w:t>
            </w:r>
          </w:p>
        </w:tc>
        <w:tc>
          <w:tcPr>
            <w:tcW w:w="1046" w:type="dxa"/>
            <w:vMerge w:val="restart"/>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w:t>
            </w:r>
            <w:r>
              <w:rPr>
                <w:rFonts w:ascii="仿宋_GB2312" w:hAnsi="仿宋_GB2312" w:eastAsia="仿宋_GB2312" w:cs="仿宋_GB2312"/>
                <w:color w:val="auto"/>
                <w:szCs w:val="21"/>
                <w:highlight w:val="none"/>
                <w:u w:val="single"/>
              </w:rPr>
              <w:t>1</w:t>
            </w:r>
            <w:r>
              <w:rPr>
                <w:rFonts w:hint="eastAsia" w:ascii="仿宋_GB2312" w:hAnsi="仿宋_GB2312" w:eastAsia="仿宋_GB2312" w:cs="仿宋_GB2312"/>
                <w:color w:val="auto"/>
                <w:szCs w:val="21"/>
                <w:highlight w:val="none"/>
                <w:u w:val="single"/>
              </w:rPr>
              <w:t xml:space="preserve">0  </w:t>
            </w:r>
            <w:r>
              <w:rPr>
                <w:rFonts w:hint="eastAsia" w:ascii="仿宋_GB2312" w:hAnsi="仿宋_GB2312" w:eastAsia="仿宋_GB2312" w:cs="仿宋_GB2312"/>
                <w:color w:val="auto"/>
                <w:szCs w:val="21"/>
                <w:highlight w:val="none"/>
              </w:rPr>
              <w:t>分</w:t>
            </w:r>
          </w:p>
        </w:tc>
        <w:tc>
          <w:tcPr>
            <w:tcW w:w="1099" w:type="dxa"/>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项目经理任职资格</w:t>
            </w:r>
          </w:p>
        </w:tc>
        <w:tc>
          <w:tcPr>
            <w:tcW w:w="856" w:type="dxa"/>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5</w:t>
            </w:r>
            <w:r>
              <w:rPr>
                <w:rFonts w:hint="eastAsia" w:ascii="仿宋_GB2312" w:hAnsi="仿宋_GB2312" w:eastAsia="仿宋_GB2312" w:cs="仿宋_GB2312"/>
                <w:color w:val="auto"/>
                <w:szCs w:val="21"/>
                <w:highlight w:val="none"/>
              </w:rPr>
              <w:t>分</w:t>
            </w:r>
          </w:p>
        </w:tc>
        <w:tc>
          <w:tcPr>
            <w:tcW w:w="2828" w:type="dxa"/>
            <w:vAlign w:val="center"/>
          </w:tcPr>
          <w:p>
            <w:pPr>
              <w:ind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根据供应商拟投入本项目的项目经理</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1人</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 xml:space="preserve">的专业技术能力进行评审：具有国土相关专业中级或以上工程师职称的得5分。 </w:t>
            </w:r>
          </w:p>
          <w:p>
            <w:pPr>
              <w:ind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注：须提供以上人员有效证书复印件及供应商为其缴纳的近</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个月内（不含开启时间当月）任意1个月的社保证明复印件加盖供应商公章，否则不得分。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65" w:type="dxa"/>
            <w:vMerge w:val="continue"/>
            <w:vAlign w:val="center"/>
          </w:tcPr>
          <w:p>
            <w:pPr>
              <w:ind w:left="42" w:leftChars="20" w:right="42" w:rightChars="20"/>
              <w:jc w:val="center"/>
              <w:rPr>
                <w:rFonts w:ascii="仿宋_GB2312" w:hAnsi="仿宋_GB2312" w:eastAsia="仿宋_GB2312" w:cs="仿宋_GB2312"/>
                <w:color w:val="auto"/>
                <w:szCs w:val="21"/>
                <w:highlight w:val="none"/>
              </w:rPr>
            </w:pPr>
          </w:p>
        </w:tc>
        <w:tc>
          <w:tcPr>
            <w:tcW w:w="1723" w:type="dxa"/>
            <w:gridSpan w:val="2"/>
            <w:vMerge w:val="continue"/>
            <w:vAlign w:val="center"/>
          </w:tcPr>
          <w:p>
            <w:pPr>
              <w:ind w:left="42" w:leftChars="20" w:right="42" w:rightChars="20"/>
              <w:jc w:val="center"/>
              <w:rPr>
                <w:rFonts w:ascii="仿宋_GB2312" w:hAnsi="仿宋_GB2312" w:eastAsia="仿宋_GB2312" w:cs="仿宋_GB2312"/>
                <w:color w:val="auto"/>
                <w:szCs w:val="21"/>
                <w:highlight w:val="none"/>
              </w:rPr>
            </w:pPr>
          </w:p>
        </w:tc>
        <w:tc>
          <w:tcPr>
            <w:tcW w:w="1046" w:type="dxa"/>
            <w:vMerge w:val="continue"/>
            <w:vAlign w:val="center"/>
          </w:tcPr>
          <w:p>
            <w:pPr>
              <w:ind w:left="42" w:leftChars="20" w:right="42" w:rightChars="20"/>
              <w:jc w:val="center"/>
              <w:rPr>
                <w:rFonts w:ascii="仿宋_GB2312" w:hAnsi="仿宋_GB2312" w:eastAsia="仿宋_GB2312" w:cs="仿宋_GB2312"/>
                <w:color w:val="auto"/>
                <w:szCs w:val="21"/>
                <w:highlight w:val="none"/>
              </w:rPr>
            </w:pPr>
          </w:p>
        </w:tc>
        <w:tc>
          <w:tcPr>
            <w:tcW w:w="1099" w:type="dxa"/>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项目成员任职资格</w:t>
            </w:r>
          </w:p>
        </w:tc>
        <w:tc>
          <w:tcPr>
            <w:tcW w:w="856" w:type="dxa"/>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5</w:t>
            </w:r>
            <w:r>
              <w:rPr>
                <w:rFonts w:hint="eastAsia" w:ascii="仿宋_GB2312" w:hAnsi="仿宋_GB2312" w:eastAsia="仿宋_GB2312" w:cs="仿宋_GB2312"/>
                <w:color w:val="auto"/>
                <w:szCs w:val="21"/>
                <w:highlight w:val="none"/>
              </w:rPr>
              <w:t>分</w:t>
            </w:r>
          </w:p>
        </w:tc>
        <w:tc>
          <w:tcPr>
            <w:tcW w:w="2828" w:type="dxa"/>
            <w:vAlign w:val="center"/>
          </w:tcPr>
          <w:p>
            <w:pPr>
              <w:ind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根据供应商拟投入本项目的专业技术人员（项目经理除外）的专业技术能力进行评审：</w:t>
            </w:r>
            <w:r>
              <w:rPr>
                <w:rFonts w:hint="eastAsia" w:ascii="仿宋" w:hAnsi="仿宋" w:eastAsia="仿宋" w:cs="仿宋_GB2312"/>
                <w:color w:val="auto"/>
                <w:szCs w:val="21"/>
                <w:highlight w:val="none"/>
              </w:rPr>
              <w:t>派驻本项目实施技术队伍中人员具有</w:t>
            </w:r>
            <w:r>
              <w:rPr>
                <w:rFonts w:hint="eastAsia" w:ascii="仿宋" w:hAnsi="仿宋" w:eastAsia="仿宋" w:cs="仿宋_GB2312"/>
                <w:color w:val="auto"/>
                <w:szCs w:val="21"/>
                <w:highlight w:val="none"/>
                <w:lang w:val="en-US" w:eastAsia="zh-CN"/>
              </w:rPr>
              <w:t>国土相关专业</w:t>
            </w:r>
            <w:r>
              <w:rPr>
                <w:rFonts w:hint="eastAsia" w:ascii="仿宋" w:hAnsi="仿宋" w:eastAsia="仿宋" w:cs="仿宋_GB2312"/>
                <w:color w:val="auto"/>
                <w:szCs w:val="21"/>
                <w:highlight w:val="none"/>
              </w:rPr>
              <w:t>中级或以上职称，每提供1个得1分，具有</w:t>
            </w:r>
            <w:r>
              <w:rPr>
                <w:rFonts w:hint="eastAsia" w:ascii="仿宋" w:hAnsi="仿宋" w:eastAsia="仿宋" w:cs="仿宋_GB2312"/>
                <w:color w:val="auto"/>
                <w:szCs w:val="21"/>
                <w:highlight w:val="none"/>
                <w:lang w:val="en-US" w:eastAsia="zh-CN"/>
              </w:rPr>
              <w:t>国土相关专业</w:t>
            </w:r>
            <w:r>
              <w:rPr>
                <w:rFonts w:hint="eastAsia" w:ascii="仿宋" w:hAnsi="仿宋" w:eastAsia="仿宋" w:cs="仿宋_GB2312"/>
                <w:color w:val="auto"/>
                <w:szCs w:val="21"/>
                <w:highlight w:val="none"/>
              </w:rPr>
              <w:t>助理级（初级）职称，提供1个得0.5分，本项最高得5分</w:t>
            </w:r>
            <w:r>
              <w:rPr>
                <w:rFonts w:hint="eastAsia" w:ascii="仿宋_GB2312" w:hAnsi="仿宋_GB2312" w:eastAsia="仿宋_GB2312" w:cs="仿宋_GB2312"/>
                <w:color w:val="auto"/>
                <w:szCs w:val="21"/>
                <w:highlight w:val="none"/>
              </w:rPr>
              <w:t>（同一人具有多个职称的按最高职称计算）。</w:t>
            </w:r>
          </w:p>
          <w:p>
            <w:pPr>
              <w:ind w:right="42" w:rightChars="20"/>
              <w:rPr>
                <w:color w:val="auto"/>
                <w:highlight w:val="none"/>
              </w:rPr>
            </w:pPr>
            <w:r>
              <w:rPr>
                <w:rFonts w:hint="eastAsia" w:ascii="仿宋_GB2312" w:hAnsi="仿宋_GB2312" w:eastAsia="仿宋_GB2312" w:cs="仿宋_GB2312"/>
                <w:color w:val="auto"/>
                <w:szCs w:val="21"/>
                <w:highlight w:val="none"/>
              </w:rPr>
              <w:t>注：须提供以上人员有效证书复印件及供应商为其缴纳的近</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个月内（不含开启时间当月）任意1个月的社保证明复印件加盖供应商公章，否则不得分。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1065" w:type="dxa"/>
            <w:vMerge w:val="restart"/>
            <w:vAlign w:val="center"/>
          </w:tcPr>
          <w:p>
            <w:pPr>
              <w:ind w:left="42" w:leftChars="20" w:right="42" w:rightChars="20"/>
              <w:jc w:val="center"/>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rPr>
              <w:t>4.4.7</w:t>
            </w:r>
          </w:p>
        </w:tc>
        <w:tc>
          <w:tcPr>
            <w:tcW w:w="665" w:type="dxa"/>
            <w:vMerge w:val="restart"/>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其他因素</w:t>
            </w:r>
          </w:p>
        </w:tc>
        <w:tc>
          <w:tcPr>
            <w:tcW w:w="1058"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财务能力</w:t>
            </w:r>
          </w:p>
        </w:tc>
        <w:tc>
          <w:tcPr>
            <w:tcW w:w="1046" w:type="dxa"/>
            <w:vAlign w:val="center"/>
          </w:tcPr>
          <w:p>
            <w:pPr>
              <w:ind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1</w:t>
            </w:r>
            <w:r>
              <w:rPr>
                <w:rFonts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u w:val="single"/>
              </w:rPr>
              <w:t>分</w:t>
            </w:r>
          </w:p>
        </w:tc>
        <w:tc>
          <w:tcPr>
            <w:tcW w:w="4783" w:type="dxa"/>
            <w:gridSpan w:val="3"/>
            <w:vAlign w:val="center"/>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1.供应商具有2022年度税务部门的“纳税信用等级情况”，获得A级的得4分，B级得2分，C级得1分，其他不得分。</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2.供应商自2020年以来年度会计师事务所出具的财务审计报告中反映的营业收入数据情况，3年来有</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年盈利得6分，有</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年盈利得3分</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有1年盈利得</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分，不盈利得0分。</w:t>
            </w:r>
          </w:p>
          <w:p>
            <w:pPr>
              <w:ind w:left="42" w:leftChars="20" w:right="42" w:rightChars="20"/>
              <w:rPr>
                <w:color w:val="auto"/>
                <w:highlight w:val="none"/>
              </w:rPr>
            </w:pPr>
            <w:r>
              <w:rPr>
                <w:rFonts w:hint="eastAsia" w:ascii="仿宋_GB2312" w:hAnsi="仿宋_GB2312" w:eastAsia="仿宋_GB2312" w:cs="仿宋_GB2312"/>
                <w:color w:val="auto"/>
                <w:szCs w:val="21"/>
                <w:highlight w:val="none"/>
              </w:rPr>
              <w:t>注：以上评审需要提供相关证明材料并加盖供应商公章。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65" w:type="dxa"/>
            <w:vMerge w:val="continue"/>
            <w:vAlign w:val="center"/>
          </w:tcPr>
          <w:p>
            <w:pPr>
              <w:ind w:left="42" w:leftChars="20" w:right="42" w:rightChars="20"/>
              <w:jc w:val="center"/>
              <w:rPr>
                <w:rFonts w:ascii="仿宋_GB2312" w:hAnsi="仿宋_GB2312" w:eastAsia="仿宋_GB2312" w:cs="仿宋_GB2312"/>
                <w:color w:val="auto"/>
                <w:szCs w:val="21"/>
                <w:highlight w:val="none"/>
              </w:rPr>
            </w:pPr>
          </w:p>
        </w:tc>
        <w:tc>
          <w:tcPr>
            <w:tcW w:w="665" w:type="dxa"/>
            <w:vMerge w:val="continue"/>
            <w:vAlign w:val="center"/>
          </w:tcPr>
          <w:p>
            <w:pPr>
              <w:ind w:left="42" w:leftChars="20" w:right="42" w:rightChars="20"/>
              <w:jc w:val="center"/>
              <w:rPr>
                <w:rFonts w:ascii="仿宋_GB2312" w:hAnsi="仿宋_GB2312" w:eastAsia="仿宋_GB2312" w:cs="仿宋_GB2312"/>
                <w:color w:val="auto"/>
                <w:szCs w:val="21"/>
                <w:highlight w:val="none"/>
              </w:rPr>
            </w:pPr>
          </w:p>
        </w:tc>
        <w:tc>
          <w:tcPr>
            <w:tcW w:w="1058"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业绩</w:t>
            </w:r>
          </w:p>
        </w:tc>
        <w:tc>
          <w:tcPr>
            <w:tcW w:w="1046" w:type="dxa"/>
            <w:vAlign w:val="center"/>
          </w:tcPr>
          <w:p>
            <w:pPr>
              <w:ind w:right="42" w:rightChars="20"/>
              <w:jc w:val="center"/>
              <w:rPr>
                <w:rFonts w:ascii="仿宋_GB2312" w:hAnsi="仿宋_GB2312" w:eastAsia="仿宋_GB2312" w:cs="仿宋_GB2312"/>
                <w:color w:val="auto"/>
                <w:szCs w:val="21"/>
                <w:highlight w:val="none"/>
                <w:u w:val="single"/>
              </w:rPr>
            </w:pPr>
            <w:r>
              <w:rPr>
                <w:rFonts w:ascii="仿宋_GB2312" w:hAnsi="仿宋_GB2312" w:eastAsia="仿宋_GB2312" w:cs="仿宋_GB2312"/>
                <w:color w:val="auto"/>
                <w:szCs w:val="21"/>
                <w:highlight w:val="none"/>
                <w:u w:val="single"/>
              </w:rPr>
              <w:t>20</w:t>
            </w:r>
            <w:r>
              <w:rPr>
                <w:rFonts w:hint="eastAsia" w:ascii="仿宋_GB2312" w:hAnsi="仿宋_GB2312" w:eastAsia="仿宋_GB2312" w:cs="仿宋_GB2312"/>
                <w:color w:val="auto"/>
                <w:szCs w:val="21"/>
                <w:highlight w:val="none"/>
                <w:u w:val="single"/>
              </w:rPr>
              <w:t>分</w:t>
            </w:r>
          </w:p>
        </w:tc>
        <w:tc>
          <w:tcPr>
            <w:tcW w:w="4783" w:type="dxa"/>
            <w:gridSpan w:val="3"/>
            <w:vAlign w:val="center"/>
          </w:tcPr>
          <w:p>
            <w:pPr>
              <w:ind w:left="42" w:leftChars="20" w:right="42" w:rightChars="20"/>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除资格要求的业绩外：</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2018年1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月1日至投标截止之日供应商独立完成：</w:t>
            </w:r>
            <w:r>
              <w:rPr>
                <w:rFonts w:hint="eastAsia" w:ascii="仿宋" w:hAnsi="仿宋" w:eastAsia="仿宋" w:cs="仿宋_GB2312"/>
                <w:color w:val="auto"/>
                <w:szCs w:val="21"/>
                <w:highlight w:val="none"/>
              </w:rPr>
              <w:t>用地报批项目相关</w:t>
            </w:r>
            <w:r>
              <w:rPr>
                <w:rFonts w:hint="eastAsia" w:ascii="仿宋_GB2312" w:hAnsi="仿宋_GB2312" w:eastAsia="仿宋_GB2312" w:cs="仿宋_GB2312"/>
                <w:color w:val="auto"/>
                <w:szCs w:val="21"/>
                <w:highlight w:val="none"/>
              </w:rPr>
              <w:t>业绩的，每提供一项业绩得4分，最高得</w:t>
            </w:r>
            <w:r>
              <w:rPr>
                <w:rFonts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rPr>
              <w:t>0</w:t>
            </w:r>
            <w:r>
              <w:rPr>
                <w:rFonts w:ascii="仿宋_GB2312" w:hAnsi="仿宋_GB2312" w:eastAsia="仿宋_GB2312" w:cs="仿宋_GB2312"/>
                <w:color w:val="auto"/>
                <w:szCs w:val="21"/>
                <w:highlight w:val="none"/>
              </w:rPr>
              <w:t>分</w:t>
            </w:r>
            <w:r>
              <w:rPr>
                <w:rFonts w:hint="eastAsia" w:ascii="仿宋_GB2312" w:hAnsi="仿宋_GB2312" w:eastAsia="仿宋_GB2312" w:cs="仿宋_GB2312"/>
                <w:color w:val="auto"/>
                <w:szCs w:val="21"/>
                <w:highlight w:val="none"/>
              </w:rPr>
              <w:t xml:space="preserve">； </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注：业绩证明材料，须提供合同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不仅限于合同封面页、合同工作内容页、合同金额页、合同甲乙双方签字与落款时间页</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、报批批文并加盖供应商公章，否则不得分。（单个合同如包含多宗子项目的，一个合同按一个业绩计算。）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4.4.8</w:t>
            </w:r>
          </w:p>
        </w:tc>
        <w:tc>
          <w:tcPr>
            <w:tcW w:w="1723" w:type="dxa"/>
            <w:gridSpan w:val="2"/>
            <w:vAlign w:val="center"/>
          </w:tcPr>
          <w:p>
            <w:pPr>
              <w:ind w:left="42" w:leftChars="20" w:right="42" w:rightChars="2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评标价</w:t>
            </w:r>
          </w:p>
        </w:tc>
        <w:tc>
          <w:tcPr>
            <w:tcW w:w="1046" w:type="dxa"/>
            <w:vAlign w:val="center"/>
          </w:tcPr>
          <w:p>
            <w:pPr>
              <w:ind w:left="42" w:leftChars="20" w:right="42" w:rightChars="20"/>
              <w:jc w:val="cente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u w:val="single"/>
              </w:rPr>
              <w:t>2</w:t>
            </w:r>
            <w:r>
              <w:rPr>
                <w:rFonts w:hint="eastAsia" w:ascii="仿宋_GB2312" w:hAnsi="仿宋_GB2312" w:eastAsia="仿宋_GB2312" w:cs="仿宋_GB2312"/>
                <w:color w:val="auto"/>
                <w:szCs w:val="21"/>
                <w:highlight w:val="none"/>
                <w:u w:val="single"/>
              </w:rPr>
              <w:t>0</w:t>
            </w:r>
            <w:r>
              <w:rPr>
                <w:rFonts w:hint="eastAsia" w:ascii="仿宋_GB2312" w:hAnsi="仿宋_GB2312" w:eastAsia="仿宋_GB2312" w:cs="仿宋_GB2312"/>
                <w:color w:val="auto"/>
                <w:szCs w:val="21"/>
                <w:highlight w:val="none"/>
              </w:rPr>
              <w:t>分</w:t>
            </w:r>
          </w:p>
        </w:tc>
        <w:tc>
          <w:tcPr>
            <w:tcW w:w="4783" w:type="dxa"/>
            <w:gridSpan w:val="3"/>
          </w:tcPr>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评标价得分计算公式示例：</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(1)如果投标人的评标价&gt;评标基准价，则评标价得分＝F－偏差率×100× D1；D1取 1.5 ；</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(2)如果投标人的评标价≤评标基准价，则评标价得分＝F＋偏差率× 100×D2；D2＝0.5。</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其中：一般原则上D1是D2的3倍。</w:t>
            </w:r>
          </w:p>
          <w:p>
            <w:pPr>
              <w:ind w:left="42" w:leftChars="20" w:right="42" w:rightChars="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注：评标价得分四舍五入至小数点后四位。</w:t>
            </w:r>
          </w:p>
        </w:tc>
      </w:tr>
    </w:tbl>
    <w:p>
      <w:pPr>
        <w:adjustRightInd w:val="0"/>
        <w:snapToGrid w:val="0"/>
        <w:spacing w:line="360" w:lineRule="auto"/>
        <w:ind w:firstLine="420" w:firstLineChars="200"/>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注：投标人的商务技术分得分为按本表“各评分因素细分项”各评审专家评分合计的算术平均值，保留至小数点后两位，第三位四舍五入。</w:t>
      </w:r>
    </w:p>
    <w:p>
      <w:pPr>
        <w:adjustRightInd w:val="0"/>
        <w:snapToGrid w:val="0"/>
        <w:spacing w:line="360" w:lineRule="auto"/>
        <w:ind w:firstLine="422"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5、废标</w:t>
      </w: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详见投标人须知第26条。</w:t>
      </w:r>
    </w:p>
    <w:p>
      <w:pPr>
        <w:adjustRightInd w:val="0"/>
        <w:snapToGrid w:val="0"/>
        <w:spacing w:line="360" w:lineRule="auto"/>
        <w:ind w:firstLine="422" w:firstLineChars="200"/>
        <w:rPr>
          <w:rFonts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6、推荐中标候选人的原则</w:t>
      </w:r>
    </w:p>
    <w:p>
      <w:pPr>
        <w:adjustRightInd w:val="0"/>
        <w:snapToGrid w:val="0"/>
        <w:spacing w:line="360" w:lineRule="auto"/>
        <w:ind w:firstLine="420" w:firstLineChars="200"/>
        <w:rPr>
          <w:rFonts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详见投标人须知第29条。</w:t>
      </w:r>
    </w:p>
    <w:p>
      <w:pPr>
        <w:adjustRightInd w:val="0"/>
        <w:snapToGrid w:val="0"/>
        <w:spacing w:line="360" w:lineRule="auto"/>
        <w:ind w:firstLine="422" w:firstLineChars="200"/>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szCs w:val="21"/>
          <w:highlight w:val="none"/>
        </w:rPr>
        <w:t>三、</w:t>
      </w:r>
      <w:r>
        <w:rPr>
          <w:rFonts w:hint="eastAsia" w:ascii="仿宋_GB2312" w:hAnsi="仿宋_GB2312" w:eastAsia="仿宋_GB2312" w:cs="仿宋_GB2312"/>
          <w:b/>
          <w:color w:val="auto"/>
          <w:kern w:val="0"/>
          <w:szCs w:val="21"/>
          <w:highlight w:val="none"/>
        </w:rPr>
        <w:t>确定中标人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评审小组根据全体评审小组成员签字的原始评审记录和评审结果编写评审报告，并向招标人提交书面评审报告。</w:t>
      </w:r>
    </w:p>
    <w:p>
      <w:pPr>
        <w:adjustRightInd w:val="0"/>
        <w:snapToGrid w:val="0"/>
        <w:spacing w:line="360" w:lineRule="auto"/>
        <w:ind w:firstLine="42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Cs w:val="21"/>
          <w:highlight w:val="none"/>
        </w:rPr>
        <w:t>招标人按照评审报告确定的中标候选人名单按顺序确定中标人，或由招标人委托评审小组按照第二章“投标人须知表”第30条中规定的方式确定中标人。</w:t>
      </w:r>
    </w:p>
    <w:p>
      <w:pPr>
        <w:pStyle w:val="3"/>
        <w:adjustRightInd w:val="0"/>
        <w:snapToGrid w:val="0"/>
        <w:spacing w:before="0" w:after="0" w:line="24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color w:val="auto"/>
          <w:sz w:val="28"/>
          <w:szCs w:val="28"/>
          <w:highlight w:val="none"/>
        </w:rPr>
        <w:t xml:space="preserve">附件1               </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资格审查表</w:t>
      </w:r>
    </w:p>
    <w:tbl>
      <w:tblPr>
        <w:tblStyle w:val="14"/>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0"/>
        <w:gridCol w:w="3318"/>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vAlign w:val="center"/>
          </w:tcPr>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2340"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审查项目</w:t>
            </w:r>
          </w:p>
        </w:tc>
        <w:tc>
          <w:tcPr>
            <w:tcW w:w="3318"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审查标准</w:t>
            </w:r>
          </w:p>
        </w:tc>
        <w:tc>
          <w:tcPr>
            <w:tcW w:w="2287"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2340"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3318"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3"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2340"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投标人名称</w:t>
            </w:r>
          </w:p>
        </w:tc>
        <w:tc>
          <w:tcPr>
            <w:tcW w:w="3318"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与营业执照（事业单位法人证书）、资质证书等证明性证书一致</w:t>
            </w: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340" w:type="dxa"/>
            <w:vAlign w:val="center"/>
          </w:tcPr>
          <w:p>
            <w:pPr>
              <w:widowControl/>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法定代表人身份证明书</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按给定格式填写并按规定签章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2340" w:type="dxa"/>
            <w:vAlign w:val="center"/>
          </w:tcPr>
          <w:p>
            <w:pPr>
              <w:widowControl/>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法定代表人授权委托书</w:t>
            </w:r>
            <w:r>
              <w:rPr>
                <w:rFonts w:hint="eastAsia" w:ascii="仿宋_GB2312" w:hAnsi="仿宋_GB2312" w:eastAsia="仿宋_GB2312" w:cs="仿宋_GB2312"/>
                <w:color w:val="auto"/>
                <w:szCs w:val="21"/>
                <w:highlight w:val="none"/>
              </w:rPr>
              <w:t>（如适用）</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按给定格式填写并按规定签章</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widowControl/>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2340" w:type="dxa"/>
            <w:vAlign w:val="center"/>
          </w:tcPr>
          <w:p>
            <w:pPr>
              <w:widowControl/>
              <w:snapToGrid w:val="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资格条件</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满足“投标人须知”1.2款的要求</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2340"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联合体协议（如适用）</w:t>
            </w:r>
          </w:p>
        </w:tc>
        <w:tc>
          <w:tcPr>
            <w:tcW w:w="3318"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满足“投标人须知”1.3款的要求</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2340"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其它资格证明文件（如适用）</w:t>
            </w:r>
          </w:p>
        </w:tc>
        <w:tc>
          <w:tcPr>
            <w:tcW w:w="3318" w:type="dxa"/>
            <w:vAlign w:val="center"/>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按要求提供且合法有效</w:t>
            </w: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vAlign w:val="center"/>
          </w:tcPr>
          <w:p>
            <w:pPr>
              <w:snapToGrid w:val="0"/>
              <w:jc w:val="center"/>
              <w:rPr>
                <w:rFonts w:ascii="仿宋_GB2312" w:hAnsi="仿宋_GB2312" w:eastAsia="仿宋_GB2312" w:cs="仿宋_GB2312"/>
                <w:color w:val="auto"/>
                <w:highlight w:val="none"/>
              </w:rPr>
            </w:pPr>
          </w:p>
        </w:tc>
        <w:tc>
          <w:tcPr>
            <w:tcW w:w="2340" w:type="dxa"/>
            <w:vAlign w:val="center"/>
          </w:tcPr>
          <w:p>
            <w:pPr>
              <w:snapToGrid w:val="0"/>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结论</w:t>
            </w:r>
          </w:p>
        </w:tc>
        <w:tc>
          <w:tcPr>
            <w:tcW w:w="3318"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2"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p>
        </w:tc>
      </w:tr>
    </w:tbl>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评审小组成员签字：</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日      期：</w:t>
      </w:r>
    </w:p>
    <w:p>
      <w:pPr>
        <w:pStyle w:val="13"/>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color w:val="auto"/>
          <w:highlight w:val="none"/>
        </w:rPr>
      </w:pPr>
      <w:r>
        <w:rPr>
          <w:color w:val="auto"/>
          <w:highlight w:val="none"/>
        </w:rPr>
        <w:br w:type="page"/>
      </w:r>
    </w:p>
    <w:p>
      <w:pPr>
        <w:rPr>
          <w:color w:val="auto"/>
          <w:highlight w:val="none"/>
        </w:rPr>
      </w:pPr>
    </w:p>
    <w:p>
      <w:pPr>
        <w:pStyle w:val="3"/>
        <w:adjustRightInd w:val="0"/>
        <w:snapToGrid w:val="0"/>
        <w:spacing w:before="0" w:after="0" w:line="24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附件2                  </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响应性审查表</w:t>
      </w:r>
    </w:p>
    <w:tbl>
      <w:tblPr>
        <w:tblStyle w:val="14"/>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vAlign w:val="center"/>
          </w:tcPr>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250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审查项目</w:t>
            </w:r>
          </w:p>
        </w:tc>
        <w:tc>
          <w:tcPr>
            <w:tcW w:w="303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审查标准</w:t>
            </w:r>
          </w:p>
        </w:tc>
        <w:tc>
          <w:tcPr>
            <w:tcW w:w="2289"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2502"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3036" w:type="dxa"/>
            <w:vMerge w:val="continue"/>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highlight w:val="none"/>
              </w:rPr>
            </w:pPr>
            <w:r>
              <w:rPr>
                <w:rFonts w:hint="eastAsia" w:ascii="仿宋_GB2312" w:hAnsi="仿宋_GB2312" w:eastAsia="仿宋_GB2312" w:cs="仿宋_GB2312"/>
                <w:color w:val="auto"/>
                <w:kern w:val="0"/>
                <w:sz w:val="20"/>
                <w:szCs w:val="21"/>
                <w:highlight w:val="none"/>
              </w:rPr>
              <w:t>1</w:t>
            </w:r>
          </w:p>
        </w:tc>
        <w:tc>
          <w:tcPr>
            <w:tcW w:w="2502"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 w:val="20"/>
                <w:szCs w:val="21"/>
                <w:highlight w:val="none"/>
              </w:rPr>
              <w:t>投标函</w:t>
            </w:r>
          </w:p>
        </w:tc>
        <w:tc>
          <w:tcPr>
            <w:tcW w:w="3036"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vAlign w:val="center"/>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highlight w:val="none"/>
              </w:rPr>
            </w:pPr>
            <w:r>
              <w:rPr>
                <w:rFonts w:hint="eastAsia" w:ascii="仿宋_GB2312" w:hAnsi="仿宋_GB2312" w:eastAsia="仿宋_GB2312" w:cs="仿宋_GB2312"/>
                <w:color w:val="auto"/>
                <w:kern w:val="0"/>
                <w:sz w:val="20"/>
                <w:szCs w:val="21"/>
                <w:highlight w:val="none"/>
              </w:rPr>
              <w:t>2</w:t>
            </w:r>
          </w:p>
        </w:tc>
        <w:tc>
          <w:tcPr>
            <w:tcW w:w="2502"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投标报价</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color w:val="auto"/>
                <w:szCs w:val="21"/>
                <w:highlight w:val="none"/>
              </w:rPr>
            </w:pPr>
            <w:r>
              <w:rPr>
                <w:rFonts w:hint="eastAsia" w:ascii="仿宋_GB2312" w:hAnsi="仿宋_GB2312" w:eastAsia="仿宋_GB2312" w:cs="仿宋_GB2312"/>
                <w:b w:val="0"/>
                <w:color w:val="auto"/>
                <w:sz w:val="21"/>
                <w:szCs w:val="21"/>
                <w:highlight w:val="none"/>
              </w:rPr>
              <w:t>只能有一个报价且有效（没有超过最高限价）</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highlight w:val="none"/>
              </w:rPr>
            </w:pPr>
            <w:r>
              <w:rPr>
                <w:rFonts w:hint="eastAsia" w:ascii="仿宋_GB2312" w:hAnsi="仿宋_GB2312" w:eastAsia="仿宋_GB2312" w:cs="仿宋_GB2312"/>
                <w:color w:val="auto"/>
                <w:kern w:val="0"/>
                <w:sz w:val="20"/>
                <w:szCs w:val="21"/>
                <w:highlight w:val="none"/>
              </w:rPr>
              <w:t>3</w:t>
            </w:r>
          </w:p>
        </w:tc>
        <w:tc>
          <w:tcPr>
            <w:tcW w:w="2502"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报价一览表</w:t>
            </w:r>
          </w:p>
        </w:tc>
        <w:tc>
          <w:tcPr>
            <w:tcW w:w="3036" w:type="dxa"/>
          </w:tcPr>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 w:val="20"/>
                <w:szCs w:val="21"/>
                <w:highlight w:val="none"/>
              </w:rPr>
            </w:pPr>
            <w:r>
              <w:rPr>
                <w:rFonts w:hint="eastAsia" w:ascii="仿宋_GB2312" w:hAnsi="仿宋_GB2312" w:eastAsia="仿宋_GB2312" w:cs="仿宋_GB2312"/>
                <w:color w:val="auto"/>
                <w:kern w:val="0"/>
                <w:sz w:val="20"/>
                <w:szCs w:val="21"/>
                <w:highlight w:val="none"/>
              </w:rPr>
              <w:t>4</w:t>
            </w:r>
          </w:p>
        </w:tc>
        <w:tc>
          <w:tcPr>
            <w:tcW w:w="2502" w:type="dxa"/>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工期（服务期、交货期）</w:t>
            </w:r>
          </w:p>
        </w:tc>
        <w:tc>
          <w:tcPr>
            <w:tcW w:w="3036" w:type="dxa"/>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满足招标文件要求</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2"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2502" w:type="dxa"/>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投标保证金</w:t>
            </w:r>
          </w:p>
        </w:tc>
        <w:tc>
          <w:tcPr>
            <w:tcW w:w="3036" w:type="dxa"/>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按要求提供且合法有效</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2502" w:type="dxa"/>
            <w:vAlign w:val="center"/>
          </w:tcPr>
          <w:p>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商务技术偏离表</w:t>
            </w:r>
          </w:p>
        </w:tc>
        <w:tc>
          <w:tcPr>
            <w:tcW w:w="3036" w:type="dxa"/>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无招标人不能接受的偏差内容</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2502" w:type="dxa"/>
            <w:vAlign w:val="center"/>
          </w:tcPr>
          <w:p>
            <w:pPr>
              <w:snapToGrid w:val="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3036" w:type="dxa"/>
            <w:vAlign w:val="center"/>
          </w:tcPr>
          <w:p>
            <w:pPr>
              <w:pStyle w:val="3"/>
              <w:adjustRightInd w:val="0"/>
              <w:snapToGrid w:val="0"/>
              <w:spacing w:before="0" w:after="0" w:line="240" w:lineRule="auto"/>
              <w:rPr>
                <w:rFonts w:ascii="仿宋_GB2312" w:hAnsi="仿宋_GB2312" w:eastAsia="仿宋_GB2312" w:cs="仿宋_GB2312"/>
                <w:b w:val="0"/>
                <w:color w:val="auto"/>
                <w:szCs w:val="21"/>
                <w:highlight w:val="none"/>
              </w:rPr>
            </w:pPr>
            <w:r>
              <w:rPr>
                <w:rFonts w:hint="eastAsia" w:ascii="仿宋_GB2312" w:hAnsi="仿宋_GB2312" w:eastAsia="仿宋_GB2312" w:cs="仿宋_GB2312"/>
                <w:b w:val="0"/>
                <w:color w:val="auto"/>
                <w:sz w:val="21"/>
                <w:szCs w:val="21"/>
                <w:highlight w:val="none"/>
              </w:rPr>
              <w:t>无法律法规及招标文件规定的其他废标内容</w:t>
            </w: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vAlign w:val="center"/>
          </w:tcPr>
          <w:p>
            <w:pPr>
              <w:snapToGrid w:val="0"/>
              <w:jc w:val="center"/>
              <w:rPr>
                <w:rFonts w:ascii="仿宋_GB2312" w:hAnsi="仿宋_GB2312" w:eastAsia="仿宋_GB2312" w:cs="仿宋_GB2312"/>
                <w:color w:val="auto"/>
                <w:szCs w:val="21"/>
                <w:highlight w:val="none"/>
              </w:rPr>
            </w:pPr>
          </w:p>
        </w:tc>
        <w:tc>
          <w:tcPr>
            <w:tcW w:w="2502" w:type="dxa"/>
            <w:vAlign w:val="center"/>
          </w:tcPr>
          <w:p>
            <w:pPr>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结论</w:t>
            </w:r>
          </w:p>
        </w:tc>
        <w:tc>
          <w:tcPr>
            <w:tcW w:w="3036"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c>
          <w:tcPr>
            <w:tcW w:w="763" w:type="dxa"/>
          </w:tcPr>
          <w:p>
            <w:pPr>
              <w:pStyle w:val="3"/>
              <w:adjustRightInd w:val="0"/>
              <w:snapToGrid w:val="0"/>
              <w:spacing w:before="0" w:after="0" w:line="240" w:lineRule="auto"/>
              <w:jc w:val="center"/>
              <w:rPr>
                <w:rFonts w:ascii="仿宋_GB2312" w:hAnsi="仿宋_GB2312" w:eastAsia="仿宋_GB2312" w:cs="仿宋_GB2312"/>
                <w:color w:val="auto"/>
                <w:sz w:val="21"/>
                <w:szCs w:val="21"/>
                <w:highlight w:val="none"/>
              </w:rPr>
            </w:pPr>
          </w:p>
        </w:tc>
      </w:tr>
    </w:tbl>
    <w:p>
      <w:pPr>
        <w:ind w:firstLine="420" w:firstLineChars="200"/>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填表说明：1、每项内容审查合格，在表中填写“√”；不合格填写“×”</w:t>
      </w: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2、审查结论填写“通过”或“不通过”</w:t>
      </w:r>
    </w:p>
    <w:p>
      <w:pPr>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评审小组成员签字：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 xml:space="preserve">日      期： </w:t>
      </w:r>
      <w:r>
        <w:rPr>
          <w:rFonts w:hint="eastAsia" w:ascii="仿宋_GB2312" w:hAnsi="仿宋_GB2312" w:eastAsia="仿宋_GB2312" w:cs="仿宋_GB2312"/>
          <w:color w:val="auto"/>
          <w:szCs w:val="21"/>
          <w:highlight w:val="none"/>
        </w:rPr>
        <w:br w:type="page"/>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pStyle w:val="2"/>
        <w:adjustRightInd w:val="0"/>
        <w:snapToGrid w:val="0"/>
        <w:spacing w:before="319" w:beforeLines="100" w:after="319" w:afterLines="100" w:line="360" w:lineRule="auto"/>
        <w:jc w:val="center"/>
        <w:rPr>
          <w:rFonts w:ascii="仿宋_GB2312" w:hAnsi="仿宋_GB2312" w:eastAsia="仿宋_GB2312" w:cs="仿宋_GB2312"/>
          <w:color w:val="auto"/>
          <w:highlight w:val="none"/>
        </w:rPr>
      </w:pPr>
      <w:bookmarkStart w:id="16" w:name="_Toc7909"/>
      <w:bookmarkStart w:id="17" w:name="_Toc19210_WPSOffice_Level1"/>
      <w:bookmarkStart w:id="18" w:name="_Toc18374"/>
      <w:r>
        <w:rPr>
          <w:rFonts w:hint="eastAsia" w:ascii="仿宋_GB2312" w:hAnsi="仿宋_GB2312" w:eastAsia="仿宋_GB2312" w:cs="仿宋_GB2312"/>
          <w:color w:val="auto"/>
          <w:highlight w:val="none"/>
        </w:rPr>
        <w:t>第五章 合同格式</w:t>
      </w:r>
      <w:bookmarkEnd w:id="16"/>
      <w:bookmarkEnd w:id="17"/>
      <w:bookmarkEnd w:id="18"/>
    </w:p>
    <w:p>
      <w:pPr>
        <w:wordWrap w:val="0"/>
        <w:adjustRightInd w:val="0"/>
        <w:snapToGrid w:val="0"/>
        <w:spacing w:line="360" w:lineRule="auto"/>
        <w:jc w:val="righ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adjustRightInd w:val="0"/>
        <w:snapToGrid w:val="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adjustRightInd w:val="0"/>
        <w:snapToGrid w:val="0"/>
        <w:jc w:val="left"/>
        <w:rPr>
          <w:rFonts w:ascii="仿宋_GB2312" w:hAnsi="仿宋_GB2312" w:eastAsia="仿宋_GB2312" w:cs="仿宋_GB2312"/>
          <w:color w:val="auto"/>
          <w:sz w:val="28"/>
          <w:szCs w:val="28"/>
          <w:highlight w:val="none"/>
        </w:rPr>
      </w:pPr>
    </w:p>
    <w:p>
      <w:pPr>
        <w:adjustRightInd w:val="0"/>
        <w:snapToGrid w:val="0"/>
        <w:jc w:val="left"/>
        <w:rPr>
          <w:rFonts w:ascii="仿宋_GB2312" w:hAnsi="仿宋_GB2312" w:eastAsia="仿宋_GB2312" w:cs="仿宋_GB2312"/>
          <w:color w:val="auto"/>
          <w:sz w:val="28"/>
          <w:szCs w:val="28"/>
          <w:highlight w:val="none"/>
        </w:rPr>
      </w:pPr>
    </w:p>
    <w:p>
      <w:pPr>
        <w:adjustRightInd w:val="0"/>
        <w:snapToGrid w:val="0"/>
        <w:jc w:val="left"/>
        <w:rPr>
          <w:rFonts w:ascii="仿宋_GB2312" w:hAnsi="仿宋_GB2312" w:eastAsia="仿宋_GB2312" w:cs="仿宋_GB2312"/>
          <w:color w:val="auto"/>
          <w:sz w:val="28"/>
          <w:szCs w:val="28"/>
          <w:highlight w:val="none"/>
        </w:rPr>
      </w:pPr>
    </w:p>
    <w:p>
      <w:pPr>
        <w:pStyle w:val="20"/>
        <w:rPr>
          <w:rFonts w:ascii="仿宋_GB2312" w:hAnsi="仿宋_GB2312" w:eastAsia="仿宋_GB2312" w:cs="仿宋_GB2312"/>
          <w:color w:val="auto"/>
          <w:sz w:val="28"/>
          <w:szCs w:val="28"/>
          <w:highlight w:val="none"/>
        </w:rPr>
      </w:pPr>
    </w:p>
    <w:p>
      <w:pPr>
        <w:pStyle w:val="21"/>
        <w:rPr>
          <w:color w:val="auto"/>
          <w:highlight w:val="none"/>
        </w:rPr>
      </w:pPr>
    </w:p>
    <w:p>
      <w:pPr>
        <w:adjustRightInd w:val="0"/>
        <w:snapToGrid w:val="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before="319" w:beforeLines="100" w:after="319" w:afterLines="100" w:line="480" w:lineRule="exact"/>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u w:val="single"/>
        </w:rPr>
        <w:t>肇庆港高要港区迳口通用码头工程项目用地报批服务</w:t>
      </w:r>
    </w:p>
    <w:p>
      <w:pPr>
        <w:spacing w:before="319" w:beforeLines="100" w:after="319" w:afterLines="100" w:line="480" w:lineRule="exact"/>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委托合同</w:t>
      </w:r>
    </w:p>
    <w:p>
      <w:pPr>
        <w:pStyle w:val="20"/>
        <w:rPr>
          <w:rFonts w:ascii="仿宋_GB2312" w:hAnsi="仿宋_GB2312" w:eastAsia="仿宋_GB2312" w:cs="仿宋_GB2312"/>
          <w:b/>
          <w:color w:val="auto"/>
          <w:sz w:val="44"/>
          <w:szCs w:val="44"/>
          <w:highlight w:val="none"/>
        </w:rPr>
      </w:pPr>
    </w:p>
    <w:p>
      <w:pPr>
        <w:pStyle w:val="21"/>
        <w:ind w:firstLine="880"/>
        <w:rPr>
          <w:rFonts w:ascii="仿宋_GB2312" w:hAnsi="仿宋_GB2312" w:eastAsia="仿宋_GB2312" w:cs="仿宋_GB2312"/>
          <w:b/>
          <w:color w:val="auto"/>
          <w:sz w:val="44"/>
          <w:szCs w:val="44"/>
          <w:highlight w:val="none"/>
        </w:rPr>
      </w:pPr>
    </w:p>
    <w:p>
      <w:pPr>
        <w:pStyle w:val="21"/>
        <w:ind w:firstLine="880"/>
        <w:rPr>
          <w:rFonts w:ascii="仿宋_GB2312" w:hAnsi="仿宋_GB2312" w:eastAsia="仿宋_GB2312" w:cs="仿宋_GB2312"/>
          <w:b/>
          <w:color w:val="auto"/>
          <w:sz w:val="44"/>
          <w:szCs w:val="44"/>
          <w:highlight w:val="none"/>
        </w:rPr>
      </w:pPr>
    </w:p>
    <w:p>
      <w:pPr>
        <w:pStyle w:val="21"/>
        <w:ind w:firstLine="0" w:firstLineChars="0"/>
        <w:rPr>
          <w:rFonts w:ascii="仿宋_GB2312" w:hAnsi="仿宋_GB2312" w:eastAsia="仿宋_GB2312" w:cs="仿宋_GB2312"/>
          <w:b/>
          <w:color w:val="auto"/>
          <w:sz w:val="44"/>
          <w:szCs w:val="44"/>
          <w:highlight w:val="none"/>
        </w:rPr>
      </w:pPr>
    </w:p>
    <w:p>
      <w:pPr>
        <w:pStyle w:val="21"/>
        <w:ind w:firstLine="880"/>
        <w:rPr>
          <w:rFonts w:ascii="仿宋_GB2312" w:hAnsi="仿宋_GB2312" w:eastAsia="仿宋_GB2312" w:cs="仿宋_GB2312"/>
          <w:b/>
          <w:color w:val="auto"/>
          <w:sz w:val="44"/>
          <w:szCs w:val="44"/>
          <w:highlight w:val="none"/>
        </w:rPr>
      </w:pPr>
    </w:p>
    <w:p>
      <w:pPr>
        <w:pStyle w:val="21"/>
        <w:ind w:firstLine="0" w:firstLineChars="0"/>
        <w:rPr>
          <w:rFonts w:ascii="仿宋_GB2312" w:hAnsi="仿宋_GB2312" w:eastAsia="仿宋_GB2312" w:cs="仿宋_GB2312"/>
          <w:b/>
          <w:color w:val="auto"/>
          <w:sz w:val="44"/>
          <w:szCs w:val="44"/>
          <w:highlight w:val="none"/>
        </w:rPr>
      </w:pPr>
    </w:p>
    <w:p>
      <w:pPr>
        <w:tabs>
          <w:tab w:val="left" w:pos="1605"/>
          <w:tab w:val="center" w:pos="4819"/>
        </w:tabs>
        <w:adjustRightInd w:val="0"/>
        <w:snapToGrid w:val="0"/>
        <w:spacing w:line="360" w:lineRule="auto"/>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委托方：</w:t>
      </w:r>
      <w:r>
        <w:rPr>
          <w:rFonts w:hint="eastAsia" w:ascii="仿宋" w:hAnsi="仿宋" w:eastAsia="仿宋" w:cs="仿宋"/>
          <w:b/>
          <w:bCs/>
          <w:color w:val="auto"/>
          <w:sz w:val="32"/>
          <w:szCs w:val="32"/>
          <w:highlight w:val="none"/>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受托方：</w:t>
      </w:r>
      <w:r>
        <w:rPr>
          <w:rFonts w:hint="eastAsia" w:ascii="仿宋" w:hAnsi="仿宋" w:eastAsia="仿宋" w:cs="仿宋"/>
          <w:b/>
          <w:bCs/>
          <w:color w:val="auto"/>
          <w:sz w:val="32"/>
          <w:szCs w:val="32"/>
          <w:highlight w:val="none"/>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合同编号：</w:t>
      </w:r>
      <w:r>
        <w:rPr>
          <w:rFonts w:hint="eastAsia" w:ascii="仿宋" w:hAnsi="仿宋" w:eastAsia="仿宋" w:cs="仿宋"/>
          <w:b/>
          <w:bCs/>
          <w:color w:val="auto"/>
          <w:sz w:val="32"/>
          <w:szCs w:val="32"/>
          <w:highlight w:val="none"/>
          <w:u w:val="single"/>
        </w:rPr>
        <w:t xml:space="preserve">                                      </w:t>
      </w:r>
    </w:p>
    <w:p>
      <w:pPr>
        <w:tabs>
          <w:tab w:val="left" w:pos="1605"/>
          <w:tab w:val="center" w:pos="4819"/>
        </w:tabs>
        <w:adjustRightInd w:val="0"/>
        <w:snapToGrid w:val="0"/>
        <w:spacing w:line="360" w:lineRule="auto"/>
        <w:rPr>
          <w:rFonts w:ascii="仿宋" w:hAnsi="仿宋" w:eastAsia="仿宋" w:cs="仿宋"/>
          <w:b/>
          <w:bCs/>
          <w:color w:val="auto"/>
          <w:sz w:val="32"/>
          <w:szCs w:val="32"/>
          <w:highlight w:val="none"/>
          <w:u w:val="single"/>
        </w:rPr>
      </w:pPr>
    </w:p>
    <w:p>
      <w:pPr>
        <w:pStyle w:val="20"/>
        <w:rPr>
          <w:color w:val="auto"/>
          <w:highlight w:val="none"/>
        </w:rPr>
      </w:pPr>
    </w:p>
    <w:p>
      <w:pPr>
        <w:tabs>
          <w:tab w:val="left" w:pos="1605"/>
          <w:tab w:val="center" w:pos="4819"/>
        </w:tabs>
        <w:adjustRightInd w:val="0"/>
        <w:snapToGrid w:val="0"/>
        <w:spacing w:line="360" w:lineRule="auto"/>
        <w:jc w:val="center"/>
        <w:rPr>
          <w:rFonts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月</w:t>
      </w:r>
    </w:p>
    <w:p>
      <w:pPr>
        <w:pStyle w:val="20"/>
        <w:ind w:firstLine="0"/>
        <w:rPr>
          <w:color w:val="auto"/>
          <w:highlight w:val="none"/>
        </w:rPr>
      </w:pPr>
    </w:p>
    <w:p>
      <w:pPr>
        <w:pStyle w:val="21"/>
        <w:rPr>
          <w:color w:val="auto"/>
          <w:highlight w:val="none"/>
        </w:rPr>
      </w:pPr>
    </w:p>
    <w:p>
      <w:pPr>
        <w:pStyle w:val="21"/>
        <w:rPr>
          <w:color w:val="auto"/>
          <w:highlight w:val="none"/>
        </w:rPr>
      </w:pPr>
    </w:p>
    <w:p>
      <w:pPr>
        <w:tabs>
          <w:tab w:val="left" w:pos="1605"/>
          <w:tab w:val="center" w:pos="4819"/>
        </w:tabs>
        <w:adjustRightInd w:val="0"/>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u w:val="single"/>
        </w:rPr>
        <w:t>肇庆港高要港区迳口通用码头工程项目用地报批服务</w:t>
      </w:r>
      <w:r>
        <w:rPr>
          <w:rFonts w:hint="eastAsia" w:ascii="仿宋" w:hAnsi="仿宋" w:eastAsia="仿宋" w:cs="仿宋"/>
          <w:b/>
          <w:bCs/>
          <w:color w:val="auto"/>
          <w:sz w:val="36"/>
          <w:szCs w:val="36"/>
          <w:highlight w:val="none"/>
        </w:rPr>
        <w:t>委托合同</w:t>
      </w:r>
    </w:p>
    <w:p>
      <w:pPr>
        <w:tabs>
          <w:tab w:val="left" w:pos="1080"/>
        </w:tabs>
        <w:wordWrap w:val="0"/>
        <w:adjustRightInd w:val="0"/>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u w:val="single"/>
          <w:shd w:val="pct10" w:color="auto" w:fill="FFFFFF"/>
        </w:rPr>
      </w:pPr>
      <w:r>
        <w:rPr>
          <w:rFonts w:hint="eastAsia" w:ascii="仿宋_GB2312" w:hAnsi="仿宋_GB2312" w:eastAsia="仿宋_GB2312" w:cs="仿宋_GB2312"/>
          <w:color w:val="auto"/>
          <w:sz w:val="28"/>
          <w:szCs w:val="28"/>
          <w:highlight w:val="none"/>
        </w:rPr>
        <w:t>甲方（委托人）：</w:t>
      </w:r>
      <w:r>
        <w:rPr>
          <w:rFonts w:hint="eastAsia" w:ascii="仿宋" w:hAnsi="仿宋" w:eastAsia="仿宋" w:cs="仿宋"/>
          <w:b/>
          <w:bCs/>
          <w:color w:val="auto"/>
          <w:kern w:val="24"/>
          <w:sz w:val="28"/>
          <w:szCs w:val="28"/>
          <w:highlight w:val="none"/>
          <w:u w:val="single"/>
        </w:rPr>
        <w:t xml:space="preserve">                                                 </w:t>
      </w:r>
      <w:r>
        <w:rPr>
          <w:rFonts w:hint="eastAsia" w:ascii="仿宋" w:hAnsi="仿宋" w:eastAsia="仿宋" w:cs="仿宋"/>
          <w:b/>
          <w:bCs/>
          <w:color w:val="auto"/>
          <w:kern w:val="24"/>
          <w:sz w:val="28"/>
          <w:szCs w:val="28"/>
          <w:highlight w:val="none"/>
          <w:u w:val="single"/>
          <w:shd w:val="pct10" w:color="auto" w:fill="FFFFFF"/>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r>
        <w:rPr>
          <w:rFonts w:hint="eastAsia" w:ascii="仿宋_GB2312" w:hAnsi="仿宋_GB2312" w:eastAsia="仿宋_GB2312" w:cs="仿宋_GB2312"/>
          <w:color w:val="auto"/>
          <w:sz w:val="28"/>
          <w:szCs w:val="28"/>
          <w:highlight w:val="none"/>
        </w:rPr>
        <w:t>统一社会征信代码：</w:t>
      </w:r>
      <w:r>
        <w:rPr>
          <w:rFonts w:hint="eastAsia" w:ascii="仿宋" w:hAnsi="仿宋" w:eastAsia="仿宋" w:cs="仿宋"/>
          <w:b/>
          <w:bCs/>
          <w:color w:val="auto"/>
          <w:kern w:val="24"/>
          <w:sz w:val="28"/>
          <w:szCs w:val="28"/>
          <w:highlight w:val="none"/>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 w:hAnsi="仿宋" w:eastAsia="仿宋" w:cs="仿宋"/>
          <w:b/>
          <w:bCs/>
          <w:color w:val="auto"/>
          <w:kern w:val="24"/>
          <w:sz w:val="28"/>
          <w:szCs w:val="28"/>
          <w:highlight w:val="none"/>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r>
        <w:rPr>
          <w:rFonts w:hint="eastAsia" w:ascii="仿宋_GB2312" w:hAnsi="仿宋_GB2312" w:eastAsia="仿宋_GB2312" w:cs="仿宋_GB2312"/>
          <w:color w:val="auto"/>
          <w:sz w:val="28"/>
          <w:szCs w:val="28"/>
          <w:highlight w:val="none"/>
        </w:rPr>
        <w:t>联系地址：</w:t>
      </w:r>
      <w:r>
        <w:rPr>
          <w:rFonts w:hint="eastAsia" w:ascii="仿宋" w:hAnsi="仿宋" w:eastAsia="仿宋" w:cs="仿宋"/>
          <w:b/>
          <w:bCs/>
          <w:color w:val="auto"/>
          <w:kern w:val="24"/>
          <w:sz w:val="28"/>
          <w:szCs w:val="28"/>
          <w:highlight w:val="none"/>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p>
    <w:p>
      <w:pPr>
        <w:tabs>
          <w:tab w:val="left" w:pos="1080"/>
        </w:tabs>
        <w:adjustRightInd w:val="0"/>
        <w:snapToGrid w:val="0"/>
        <w:spacing w:line="360" w:lineRule="auto"/>
        <w:rPr>
          <w:rFonts w:ascii="仿宋" w:hAnsi="仿宋" w:eastAsia="仿宋" w:cs="仿宋"/>
          <w:b/>
          <w:bCs/>
          <w:color w:val="auto"/>
          <w:kern w:val="24"/>
          <w:sz w:val="28"/>
          <w:szCs w:val="28"/>
          <w:highlight w:val="none"/>
          <w:u w:val="single"/>
        </w:rPr>
      </w:pPr>
      <w:r>
        <w:rPr>
          <w:rFonts w:hint="eastAsia" w:ascii="仿宋_GB2312" w:hAnsi="仿宋_GB2312" w:eastAsia="仿宋_GB2312" w:cs="仿宋_GB2312"/>
          <w:color w:val="auto"/>
          <w:sz w:val="28"/>
          <w:szCs w:val="28"/>
          <w:highlight w:val="none"/>
        </w:rPr>
        <w:t>乙方（受托人）：</w:t>
      </w:r>
      <w:r>
        <w:rPr>
          <w:rFonts w:hint="eastAsia" w:ascii="仿宋" w:hAnsi="仿宋" w:eastAsia="仿宋" w:cs="仿宋"/>
          <w:b/>
          <w:bCs/>
          <w:color w:val="auto"/>
          <w:kern w:val="24"/>
          <w:sz w:val="28"/>
          <w:szCs w:val="28"/>
          <w:highlight w:val="none"/>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r>
        <w:rPr>
          <w:rFonts w:hint="eastAsia" w:ascii="仿宋_GB2312" w:hAnsi="仿宋_GB2312" w:eastAsia="仿宋_GB2312" w:cs="仿宋_GB2312"/>
          <w:color w:val="auto"/>
          <w:sz w:val="28"/>
          <w:szCs w:val="28"/>
          <w:highlight w:val="none"/>
        </w:rPr>
        <w:t>统一社会征信代码：</w:t>
      </w:r>
      <w:r>
        <w:rPr>
          <w:rFonts w:hint="eastAsia" w:ascii="仿宋" w:hAnsi="仿宋" w:eastAsia="仿宋" w:cs="仿宋"/>
          <w:b/>
          <w:bCs/>
          <w:color w:val="auto"/>
          <w:kern w:val="24"/>
          <w:sz w:val="28"/>
          <w:szCs w:val="28"/>
          <w:highlight w:val="none"/>
          <w:u w:val="single"/>
        </w:rPr>
        <w:t xml:space="preserve">                                          </w:t>
      </w:r>
    </w:p>
    <w:p>
      <w:pPr>
        <w:tabs>
          <w:tab w:val="left" w:pos="1080"/>
        </w:tabs>
        <w:adjustRightInd w:val="0"/>
        <w:snapToGrid w:val="0"/>
        <w:spacing w:line="360" w:lineRule="auto"/>
        <w:rPr>
          <w:rFonts w:ascii="仿宋" w:hAnsi="仿宋" w:eastAsia="仿宋" w:cs="仿宋"/>
          <w:b/>
          <w:bCs/>
          <w:color w:val="auto"/>
          <w:kern w:val="24"/>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 w:hAnsi="仿宋" w:eastAsia="仿宋" w:cs="仿宋"/>
          <w:b/>
          <w:bCs/>
          <w:color w:val="auto"/>
          <w:kern w:val="24"/>
          <w:sz w:val="28"/>
          <w:szCs w:val="28"/>
          <w:highlight w:val="none"/>
          <w:u w:val="single"/>
        </w:rPr>
        <w:t xml:space="preserve">                                                     </w:t>
      </w:r>
    </w:p>
    <w:p>
      <w:pPr>
        <w:pStyle w:val="21"/>
        <w:ind w:firstLine="0" w:firstLineChars="0"/>
        <w:rPr>
          <w:color w:val="auto"/>
          <w:sz w:val="28"/>
          <w:szCs w:val="28"/>
          <w:highlight w:val="none"/>
        </w:rPr>
      </w:pPr>
      <w:r>
        <w:rPr>
          <w:rFonts w:hint="eastAsia" w:ascii="仿宋_GB2312" w:hAnsi="仿宋_GB2312" w:eastAsia="仿宋_GB2312" w:cs="仿宋_GB2312"/>
          <w:color w:val="auto"/>
          <w:sz w:val="28"/>
          <w:szCs w:val="28"/>
          <w:highlight w:val="none"/>
        </w:rPr>
        <w:t>联系地址：</w:t>
      </w:r>
      <w:r>
        <w:rPr>
          <w:rFonts w:hint="eastAsia" w:ascii="仿宋" w:hAnsi="仿宋" w:eastAsia="仿宋" w:cs="仿宋"/>
          <w:b/>
          <w:bCs/>
          <w:color w:val="auto"/>
          <w:kern w:val="24"/>
          <w:sz w:val="28"/>
          <w:szCs w:val="28"/>
          <w:highlight w:val="none"/>
          <w:u w:val="single"/>
        </w:rPr>
        <w:t xml:space="preserve">                                                   </w:t>
      </w:r>
    </w:p>
    <w:p>
      <w:pPr>
        <w:adjustRightInd w:val="0"/>
        <w:snapToGrid w:val="0"/>
        <w:spacing w:line="360" w:lineRule="auto"/>
        <w:ind w:firstLine="640"/>
        <w:jc w:val="left"/>
        <w:rPr>
          <w:rFonts w:ascii="仿宋_GB2312" w:hAnsi="仿宋_GB2312" w:eastAsia="仿宋_GB2312" w:cs="仿宋_GB2312"/>
          <w:color w:val="auto"/>
          <w:sz w:val="28"/>
          <w:szCs w:val="28"/>
          <w:highlight w:val="none"/>
          <w:u w:val="single"/>
        </w:rPr>
      </w:pP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甲方委托乙方承担</w:t>
      </w:r>
      <w:r>
        <w:rPr>
          <w:rFonts w:hint="eastAsia" w:ascii="仿宋" w:hAnsi="仿宋" w:eastAsia="仿宋" w:cs="仿宋_GB2312"/>
          <w:color w:val="auto"/>
          <w:szCs w:val="21"/>
          <w:highlight w:val="none"/>
          <w:u w:val="single"/>
        </w:rPr>
        <w:t>肇庆港高要港区迳口通用码头工程项目用地报批相关技术服务</w:t>
      </w:r>
      <w:r>
        <w:rPr>
          <w:rFonts w:hint="eastAsia" w:ascii="仿宋" w:hAnsi="仿宋" w:eastAsia="仿宋" w:cs="仿宋_GB2312"/>
          <w:color w:val="auto"/>
          <w:szCs w:val="21"/>
          <w:highlight w:val="none"/>
        </w:rPr>
        <w:t>合同工作。为了明确甲方与乙方的责任，分工协作，相互促进，根据《中华人民共和国民法典》，经双方协商一致，签订本合同，以资共同遵守。</w:t>
      </w:r>
    </w:p>
    <w:p>
      <w:pPr>
        <w:snapToGrid w:val="0"/>
        <w:spacing w:line="360" w:lineRule="auto"/>
        <w:ind w:firstLine="422" w:firstLineChars="200"/>
        <w:rPr>
          <w:rFonts w:ascii="仿宋" w:hAnsi="仿宋" w:eastAsia="仿宋" w:cs="仿宋_GB2312"/>
          <w:b/>
          <w:bCs/>
          <w:color w:val="auto"/>
          <w:szCs w:val="21"/>
          <w:highlight w:val="none"/>
        </w:rPr>
      </w:pPr>
      <w:r>
        <w:rPr>
          <w:rFonts w:hint="eastAsia" w:ascii="仿宋" w:hAnsi="仿宋" w:eastAsia="仿宋" w:cs="仿宋_GB2312"/>
          <w:b/>
          <w:bCs/>
          <w:color w:val="auto"/>
          <w:szCs w:val="21"/>
          <w:highlight w:val="none"/>
        </w:rPr>
        <w:t>第一条 工程名称</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肇庆港高要港区迳口通用码头工程</w:t>
      </w:r>
    </w:p>
    <w:p>
      <w:pPr>
        <w:snapToGrid w:val="0"/>
        <w:spacing w:line="360" w:lineRule="auto"/>
        <w:ind w:firstLine="422" w:firstLineChars="200"/>
        <w:rPr>
          <w:rFonts w:ascii="仿宋" w:hAnsi="仿宋" w:eastAsia="仿宋" w:cs="仿宋_GB2312"/>
          <w:b/>
          <w:bCs/>
          <w:color w:val="auto"/>
          <w:szCs w:val="21"/>
          <w:highlight w:val="none"/>
        </w:rPr>
      </w:pPr>
      <w:r>
        <w:rPr>
          <w:rFonts w:hint="eastAsia" w:ascii="仿宋" w:hAnsi="仿宋" w:eastAsia="仿宋" w:cs="仿宋_GB2312"/>
          <w:b/>
          <w:bCs/>
          <w:color w:val="auto"/>
          <w:szCs w:val="21"/>
          <w:highlight w:val="none"/>
        </w:rPr>
        <w:t>第二条 工作内容</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根据国家有关法律法规对建设项目用地报批的相关规定，对肇庆港高要港区迳口通用码头工程用地报批提供相关技术服务。具体工作内容包括：</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1、用地报批技术服务</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2、占用耕地耕作层土壤剥离再利用方案编制技术服务</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3、土地勘测定界技术报告编制技术服务</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第三条 工作要求</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1、进度要求</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①合同签订后30个日历天内提交《工程涉及耕地耕作层剥离再利用方案》（报批稿）和《肇庆港高要港区迳口通用码头工程土地勘测定界报告》（报批稿）；</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②合同签订后60个日历天内提交《肇庆港高要港区迳口通用码头工程建设用地报批组卷材料》上报至市国土资源局；</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②合同签订后120个日历天内取得建设用地批文。</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（2）技术质量要求</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根据《广东省国土资源厅关于印发&lt;省政府审批建设用地报批材料范本（2018年修订版）&gt;的通知》（粤国土资利用发〔2018〕25号）、《肇庆市国土资源局关于印发〈肇庆市国土资源局关于印发&lt;肇庆市建设用地报批流程及材料清单〉的通知》（肇国土资发〔2018〕89号）及有关规范要求，编制建设用地报批组卷材料。</w:t>
      </w:r>
    </w:p>
    <w:p>
      <w:pPr>
        <w:pStyle w:val="6"/>
        <w:numPr>
          <w:ilvl w:val="0"/>
          <w:numId w:val="5"/>
        </w:numPr>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其他要求 </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①乙方协助甲方提供相关报审材料直至获取主管部门通过批复，报送和审查时所需的文件由乙方负责；</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②报告（报批稿）以及其他各项成果文件除报批使用的另外各提交6份甲方存档，并同时提交电子版（需同时提交pdf格式版本及word、DWG、PPT、JPG、CAD等可编辑格式）。</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第四条 合同金额及其支付办法</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1、合同金额</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（1）本合同包干费用为人民币</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万元（￥</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），费用已包含了为实施和完成本项目所需的劳务、工作平台、管理、报告编制与出版、报告评审、会务费、差旅费、保险费、税费及利润等一切费用，除此之外，甲方不再向乙方支付其他任何费用。</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（2）各单项工作技术服务费用：</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①、用地报批技术服务为人民币</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万元（￥</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 xml:space="preserve"> ）</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②、占用耕地耕作层土壤剥离再利用方案编制技术服务为人民币</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万元（￥</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 xml:space="preserve"> ）</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③、土地勘测定界技术报告编制技术服务为人民币</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万元（￥</w:t>
      </w:r>
      <w:r>
        <w:rPr>
          <w:rFonts w:hint="eastAsia" w:ascii="仿宋" w:hAnsi="仿宋" w:eastAsia="仿宋" w:cs="仿宋_GB2312"/>
          <w:color w:val="auto"/>
          <w:szCs w:val="21"/>
          <w:highlight w:val="none"/>
          <w:u w:val="single"/>
        </w:rPr>
        <w:t xml:space="preserve">       </w:t>
      </w:r>
      <w:r>
        <w:rPr>
          <w:rFonts w:hint="eastAsia" w:ascii="仿宋" w:hAnsi="仿宋" w:eastAsia="仿宋" w:cs="仿宋_GB2312"/>
          <w:color w:val="auto"/>
          <w:szCs w:val="21"/>
          <w:highlight w:val="none"/>
        </w:rPr>
        <w:t xml:space="preserve"> ）</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2、费用支付方式</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（1）合同签订后，甲方应支付总技术服务费用的</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0%，当做预付款。</w:t>
      </w:r>
    </w:p>
    <w:p>
      <w:pPr>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（2）甲方视乙方工作进度情况，可根据进度对用地报批技术服务、占用耕地耕作层土壤剥离再利用方案编制技术服务、土地勘测定界技术报告编制技术服务的工作技术服务费用进行中期计量：</w:t>
      </w:r>
    </w:p>
    <w:p>
      <w:pPr>
        <w:snapToGrid w:val="0"/>
        <w:spacing w:line="360" w:lineRule="auto"/>
        <w:ind w:left="239" w:leftChars="114" w:firstLine="210" w:firstLineChars="100"/>
        <w:rPr>
          <w:rFonts w:ascii="仿宋" w:hAnsi="仿宋" w:eastAsia="仿宋" w:cs="仿宋_GB2312"/>
          <w:color w:val="auto"/>
          <w:szCs w:val="21"/>
          <w:highlight w:val="none"/>
        </w:rPr>
      </w:pPr>
      <w:r>
        <w:rPr>
          <w:rFonts w:hint="eastAsia" w:ascii="仿宋" w:hAnsi="仿宋" w:eastAsia="仿宋" w:cs="仿宋_GB2312"/>
          <w:color w:val="auto"/>
          <w:szCs w:val="21"/>
          <w:highlight w:val="none"/>
        </w:rPr>
        <w:t>A.用地报批技术服务工作，组卷完成并上报至具有审批权限的自然资源主管部门，甲方应支付该单项技术服务费用的30%；</w:t>
      </w:r>
    </w:p>
    <w:p>
      <w:pPr>
        <w:snapToGrid w:val="0"/>
        <w:spacing w:line="360" w:lineRule="auto"/>
        <w:ind w:left="239" w:leftChars="114" w:firstLine="210" w:firstLineChars="100"/>
        <w:rPr>
          <w:rFonts w:ascii="仿宋" w:hAnsi="仿宋" w:eastAsia="仿宋" w:cs="仿宋_GB2312"/>
          <w:color w:val="auto"/>
          <w:szCs w:val="21"/>
          <w:highlight w:val="none"/>
        </w:rPr>
      </w:pPr>
      <w:r>
        <w:rPr>
          <w:rFonts w:hint="eastAsia" w:ascii="仿宋" w:hAnsi="仿宋" w:eastAsia="仿宋" w:cs="仿宋_GB2312"/>
          <w:color w:val="auto"/>
          <w:szCs w:val="21"/>
          <w:highlight w:val="none"/>
        </w:rPr>
        <w:t>B.占用耕地耕作层土壤剥离再利用方案编制技术服务工作，完成耕作层剥离及再利用方案编制并上报各级主管部门审批，甲方应支付该单项技术服务费用的30%；</w:t>
      </w:r>
    </w:p>
    <w:p>
      <w:pPr>
        <w:snapToGrid w:val="0"/>
        <w:spacing w:line="360" w:lineRule="auto"/>
        <w:ind w:left="239" w:leftChars="114" w:firstLine="210" w:firstLineChars="100"/>
        <w:rPr>
          <w:rFonts w:ascii="仿宋" w:hAnsi="仿宋" w:eastAsia="仿宋" w:cs="仿宋_GB2312"/>
          <w:color w:val="auto"/>
          <w:szCs w:val="21"/>
          <w:highlight w:val="none"/>
        </w:rPr>
      </w:pPr>
      <w:r>
        <w:rPr>
          <w:rFonts w:hint="eastAsia" w:ascii="仿宋" w:hAnsi="仿宋" w:eastAsia="仿宋" w:cs="仿宋_GB2312"/>
          <w:color w:val="auto"/>
          <w:szCs w:val="21"/>
          <w:highlight w:val="none"/>
        </w:rPr>
        <w:t>C.土地勘测定界技术报告编制技术服务工作，出具土地勘测定界报告成果，甲方应支付该单项技术服务费用的30%；</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（3）各单项技术服务工作，取得有终审审批权限的自然资源主管部门下发的通过批复后，甲方应支付各单项技术服务费用的</w:t>
      </w: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0%。</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（4）合同签订生效后，上述费用支付日期以开户银行转帐日期为准，每次付款前乙方需向甲方提供付款申请和合法等额有效的增值税专用发票。</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第五条 甲方的权利、义务和责任</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1、甲方应按双方商定的内容、深度，向乙方提交基础资料及文件，并对其完整性、正确性和及时性负责，不得随意变更。</w:t>
      </w:r>
    </w:p>
    <w:p>
      <w:pPr>
        <w:pStyle w:val="6"/>
        <w:spacing w:line="360" w:lineRule="auto"/>
        <w:rPr>
          <w:rFonts w:ascii="仿宋" w:hAnsi="仿宋" w:eastAsia="仿宋"/>
          <w:color w:val="auto"/>
          <w:szCs w:val="21"/>
          <w:highlight w:val="none"/>
        </w:rPr>
      </w:pPr>
      <w:r>
        <w:rPr>
          <w:rFonts w:hint="eastAsia" w:ascii="仿宋" w:hAnsi="仿宋" w:eastAsia="仿宋" w:cs="仿宋_GB2312"/>
          <w:color w:val="auto"/>
          <w:szCs w:val="21"/>
          <w:highlight w:val="none"/>
        </w:rPr>
        <w:t>2、在合同履行过程中，甲方如发现乙方项目组主要成员有严重错误或有正当理由对乙方项目组主要成员履行的服务不满意的，有权要求乙方替换项目组主要成员。</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3、甲方应按本合同第四条规定的时间和金额向乙方支付相关费用。</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4、若甲方没有按本合同第四条的规定如期如数地向乙方支付咨询费用，每逾期支付一天，应承担应支付合同金额万分之四的逾期违约金，其金额与逾期咨询费同时支付。逾期超过30天以上时，乙方有权暂停履行下阶段工作，并书面通知甲方。</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5、甲方有权将本合同成果用于本项目各阶段工作中，但若甲方将本合同成果用于本项目以外的需征得乙方的同意。</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第六条 乙方的权利、义务和责任</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1、乙方应按本合同第二和第三条规定的内容、时间及份数向甲方交付咨询服务文件。</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2、乙方提交的咨询服务文件必须满足国家的有关标准和规定，及国家主管部门对咨询报告内容和深度的要求，并通过相关主管部门及专家的评审。</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3、乙方应提前了解本项目所在地的有关标准、规范和规定，如果本项目所在地的有关标准、规范和规定高于国标标准，乙方应按照本项目所在地的有关标准、规范和规定进行编制，否则乙方将按照国标标准、行业标准、规范和规定进行编制，实际以通过相关主管部门及专家的评审为准。</w:t>
      </w:r>
    </w:p>
    <w:p>
      <w:pPr>
        <w:pStyle w:val="6"/>
        <w:spacing w:line="360" w:lineRule="auto"/>
        <w:rPr>
          <w:rFonts w:ascii="仿宋" w:hAnsi="仿宋" w:eastAsia="仿宋"/>
          <w:color w:val="auto"/>
          <w:szCs w:val="21"/>
          <w:highlight w:val="none"/>
        </w:rPr>
      </w:pPr>
      <w:r>
        <w:rPr>
          <w:rFonts w:hint="eastAsia" w:ascii="仿宋" w:hAnsi="仿宋" w:eastAsia="仿宋" w:cs="仿宋_GB2312"/>
          <w:color w:val="auto"/>
          <w:szCs w:val="21"/>
          <w:highlight w:val="none"/>
        </w:rPr>
        <w:t>4、对于已经提交成果验收的各阶段成果文件，乙方须按照</w:t>
      </w:r>
      <w:r>
        <w:rPr>
          <w:rFonts w:ascii="仿宋" w:hAnsi="仿宋" w:eastAsia="仿宋" w:cs="仿宋_GB2312"/>
          <w:color w:val="auto"/>
          <w:szCs w:val="21"/>
          <w:highlight w:val="none"/>
        </w:rPr>
        <w:t>自然资源部门</w:t>
      </w:r>
      <w:r>
        <w:rPr>
          <w:rFonts w:hint="eastAsia" w:ascii="仿宋" w:hAnsi="仿宋" w:eastAsia="仿宋" w:cs="仿宋_GB2312"/>
          <w:color w:val="auto"/>
          <w:szCs w:val="21"/>
          <w:highlight w:val="none"/>
        </w:rPr>
        <w:t>的书面成果审查或审批意见进行修改和完善。未经甲方同意，乙方不得随意修改已经验收的成果文件。</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5、乙方对咨询及报告文件出现的遗漏或错误负责修改或完善，如因乙方出具的相关材料存在问题，给甲方造成损失的，乙方需全额赔偿。</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6、如果由于乙方自身的原因而延误交成果报告及评审时间，则应承担违约责任。每逾期一天，按相应内容服务费金额的万分之四支付逾期违约金。甲方有权因乙方逾期解除合同，因逾期给甲方造成损失的，乙方收取的合同款项应全额返还甲方，若给甲方造成损失的，乙方需全额赔偿。</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7、乙方不得向第三方泄漏、转让甲方所提交的保密性资料。如有违背，甲方有权索赔。</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8、乙方的工作人员从事本项目进行的现场踏勘等人身安全由乙方自行负责，如乙方工作人员从事本项目发生人身安全事故而产生损害赔偿，均由乙方承担全部赔偿责任。</w:t>
      </w:r>
    </w:p>
    <w:p>
      <w:pPr>
        <w:pStyle w:val="6"/>
        <w:rPr>
          <w:rFonts w:ascii="仿宋" w:hAnsi="仿宋" w:eastAsia="仿宋" w:cs="仿宋_GB2312"/>
          <w:color w:val="auto"/>
          <w:szCs w:val="21"/>
          <w:highlight w:val="none"/>
        </w:rPr>
      </w:pPr>
      <w:r>
        <w:rPr>
          <w:rFonts w:hint="eastAsia" w:ascii="仿宋" w:hAnsi="仿宋" w:eastAsia="仿宋" w:cs="仿宋_GB2312"/>
          <w:color w:val="auto"/>
          <w:szCs w:val="21"/>
          <w:highlight w:val="none"/>
        </w:rPr>
        <w:t>9、乙方应负责为其工作的工作人员购买国家规定的保险，并按国家规定及时支付工作人员工资。</w:t>
      </w:r>
    </w:p>
    <w:p>
      <w:pPr>
        <w:pStyle w:val="6"/>
        <w:rPr>
          <w:rFonts w:ascii="仿宋" w:hAnsi="仿宋" w:eastAsia="仿宋" w:cs="仿宋_GB2312"/>
          <w:color w:val="auto"/>
          <w:szCs w:val="21"/>
          <w:highlight w:val="none"/>
        </w:rPr>
      </w:pPr>
      <w:r>
        <w:rPr>
          <w:rFonts w:hint="eastAsia" w:ascii="仿宋" w:hAnsi="仿宋" w:eastAsia="仿宋" w:cs="仿宋_GB2312"/>
          <w:color w:val="auto"/>
          <w:szCs w:val="21"/>
          <w:highlight w:val="none"/>
        </w:rPr>
        <w:t>10、乙方在工作过程中应该注意保护甲方原有的财产，若有损坏需赔偿相关的损失。</w:t>
      </w:r>
    </w:p>
    <w:p>
      <w:pPr>
        <w:pStyle w:val="6"/>
        <w:rPr>
          <w:rFonts w:ascii="仿宋" w:hAnsi="仿宋" w:eastAsia="仿宋" w:cs="仿宋_GB2312"/>
          <w:color w:val="auto"/>
          <w:szCs w:val="21"/>
          <w:highlight w:val="none"/>
        </w:rPr>
      </w:pPr>
      <w:r>
        <w:rPr>
          <w:rFonts w:hint="eastAsia" w:ascii="仿宋" w:hAnsi="仿宋" w:eastAsia="仿宋" w:cs="仿宋_GB2312"/>
          <w:color w:val="auto"/>
          <w:szCs w:val="21"/>
          <w:highlight w:val="none"/>
        </w:rPr>
        <w:t>11、乙方在工作过程中应尊重当地风俗民情，妥善处理当地关系，若因乙方处理不当造成当地村民财产损失或其他纠纷，由乙方自行负责。</w:t>
      </w:r>
    </w:p>
    <w:p>
      <w:pPr>
        <w:snapToGrid w:val="0"/>
        <w:spacing w:line="360" w:lineRule="auto"/>
        <w:ind w:firstLine="422" w:firstLineChars="200"/>
        <w:rPr>
          <w:rFonts w:ascii="仿宋" w:hAnsi="仿宋" w:eastAsia="仿宋" w:cs="仿宋_GB2312"/>
          <w:b/>
          <w:color w:val="auto"/>
          <w:szCs w:val="21"/>
          <w:highlight w:val="none"/>
        </w:rPr>
      </w:pP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第七条 合同的变更和终止</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1、乙方按双方商定的技术方案，开展咨询及报告编制工作。如甲方在本合同履行期间，对方案进行重大变更而需乙方重做或修改咨询文件时，变更的咨询服务周期以及费用需经双方协商后另行签订补充合同。</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在本合同履行期间，若甲方单方面无理由要求终止或解除合同，应及时用书面通知乙方，若乙方尚未开始工作，则乙方不退还甲方已付的定金；若乙方已开始相关工作，除已付的定金和进度款不退还外，甲方还应按已完成的咨询服务及进度补足相应的咨询服务费和误工费。</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3、本合同生效后，乙方单方面要求终止或解除合同时，除退还已收取的全部合同款项外，还应双倍返还甲方定金，若给甲方造成损失的，乙方需全额赔偿。</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4、由于不可抗力因素致使合同无法履行，双方应及时协商解决。</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5、甲方若委托乙方承担本合同规定内容之外的工作或服务，则需另行支付费用。</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6、变更或解除合同的通知或协议应当采取书面形式，并在15日前通知对方，新的协议未达成之前，原合同仍然有效。</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第八条 保密</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甲乙双方应对因谈判本合同及履行本合同所知悉的有关对方的文件、信息和方法保守秘密，除经对方书面同意或者以下约定的情况外，双方不得披露或泄漏、使用该等文件、信息和方法，且将尽最大努力防止任何上述信息的公布或披露、泄漏。</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2、双方须确保其合作方、代理机构、顾问、职员受本条适用于该方的保密义务的约束，否则其咨询合作方、代理机构、顾问、职员违反上述保密义务的行为将视为该方自己的行为。</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上述约定的义务不应适用于法律、任何证券交易所或监督机构、监管机构或政府机构依法定程序要求的任何披露；不应适用于为获取建议而对任何专业顾问作出的任何披露（但应与专业顾问签署保密协议，确保专业顾问一直遵循本条的规定）；不应适用于在本合同签署以前已经进入公共领域的任何信息。</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第九条 通知</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1、依据本合同要求发出的通知或其他通信、图纸以及资料往来应以中文书写，可经专人递交，或通过预付邮资信件、公认的快递服务发到双方的约定地址给约定联系人。通知实际收到的日期应按如下方法确定：</w:t>
      </w:r>
    </w:p>
    <w:p>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（1）专人递交的，应于专人交付之日视为已实际收到；</w:t>
      </w:r>
    </w:p>
    <w:p>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（2）以预付邮资的信件发出的通知，应以寄出日（以邮戳为凭）后第7日视为已实际收到；</w:t>
      </w:r>
    </w:p>
    <w:p>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（3）以公认的快递服务发送的通知，应于交快递服务（以有效发送凭证）发送后第3日视为实际收到；</w:t>
      </w:r>
    </w:p>
    <w:p>
      <w:pPr>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（4）若用传真发出，则在发出后24小时即为送达。</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2、为了避免因延误造成不必要的损失，双方约定，在本条款定义的通知发出前和收到后，双发的约定联系人必须电话告知对方。</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3、本合同任何一方的约定地址或约定联系人如有变动，应在2天内将变动告知另一方。</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第十条 争议的解决</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因执行本合同所发生的或者与本合同有关的一切争议将由合同双方通过友好协商解决。如果不能协商一致，合同任何一方有权向项目所在地有管辖权的人民法院提起诉讼。</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第十一条 适用法律</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本合同的执行和争议的解决应适用中华人民共和国的法律并按中华人民共和国的法律进行解释。</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第十二条 合同生效及其他</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1、本合同在双方法人或其授权代表签字并盖章后生效。</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2、合同项下全部权利义务履行完毕后，本合同自动失效。合同有效期最长不超过3年。合同到期后，合同项下任何尚未了结的债权和债务不受合同到期的影响。债务人仍应向债权人履行其义务。</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3、双方应各自承担中国税务机构向其征收的与执行本合同有关的税费。</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4、所有合同文件及相关的修订和合同双方之间的书面联络应使用中文书就并按中文解释。</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5、对本合同条款的任何补充、增添或修改应以书面方式进行并由双方授权代表签字并加盖单位公章或合同章。</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6、没有另一方的事先同意，合同任何一方不得将合同项下的任何权利和义务转让给第三方。</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7、任何一方在执行任何合同条款和条件时准予另一方的放松、宽容、延迟或放纵或时间  不得损害、影响或限制另一方在合同之下的权利，任何一方对合同的任何违背、任何免责也不应导致对任何后面或延续的合同分项的免责，或弃权。</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8、合同双方之间的一切联络往来应以书面形式按以下地址发往合同另一方。有关重要事项的传真应及时用挂号信或快件确认。</w:t>
      </w:r>
    </w:p>
    <w:p>
      <w:pPr>
        <w:autoSpaceDE w:val="0"/>
        <w:autoSpaceDN w:val="0"/>
        <w:spacing w:line="360" w:lineRule="auto"/>
        <w:ind w:firstLine="420" w:firstLineChars="200"/>
        <w:textAlignment w:val="bottom"/>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甲方联系人：           电话：               E-mail:  </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乙方联系人：           电话：</w:t>
      </w:r>
      <w:bookmarkStart w:id="19" w:name="_Hlk104372359"/>
      <w:r>
        <w:rPr>
          <w:rFonts w:hint="eastAsia" w:ascii="仿宋" w:hAnsi="仿宋" w:eastAsia="仿宋" w:cs="仿宋_GB2312"/>
          <w:color w:val="auto"/>
          <w:szCs w:val="21"/>
          <w:highlight w:val="none"/>
        </w:rPr>
        <w:t xml:space="preserve">            </w:t>
      </w:r>
      <w:bookmarkEnd w:id="19"/>
      <w:r>
        <w:rPr>
          <w:rFonts w:hint="eastAsia" w:ascii="仿宋" w:hAnsi="仿宋" w:eastAsia="仿宋" w:cs="仿宋_GB2312"/>
          <w:color w:val="auto"/>
          <w:szCs w:val="21"/>
          <w:highlight w:val="none"/>
        </w:rPr>
        <w:t xml:space="preserve">   E-mail:</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9、合同一式八份，双方各持四份。</w:t>
      </w:r>
    </w:p>
    <w:p>
      <w:pPr>
        <w:snapToGrid w:val="0"/>
        <w:spacing w:line="360" w:lineRule="auto"/>
        <w:ind w:firstLine="422" w:firstLineChars="200"/>
        <w:rPr>
          <w:rFonts w:ascii="仿宋" w:hAnsi="仿宋" w:eastAsia="仿宋" w:cs="仿宋_GB2312"/>
          <w:b/>
          <w:color w:val="auto"/>
          <w:szCs w:val="21"/>
          <w:highlight w:val="none"/>
        </w:rPr>
      </w:pPr>
      <w:r>
        <w:rPr>
          <w:rFonts w:hint="eastAsia" w:ascii="仿宋" w:hAnsi="仿宋" w:eastAsia="仿宋" w:cs="仿宋_GB2312"/>
          <w:b/>
          <w:color w:val="auto"/>
          <w:szCs w:val="21"/>
          <w:highlight w:val="none"/>
        </w:rPr>
        <w:t xml:space="preserve">第十三条 廉政条款 </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1、甲乙双方应共同遵守国家、广东省及行业主管部门党风廉政建设的各项规定，自觉按合同办事。</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2、甲乙双方如发现对方在业务活动中有违规、违纪、违法的行为，应及时提醒对方，情节严重的应向其上级主管部门或纪检监察部门举报。</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3、甲方不准向乙方索要或接受回扣、礼金、有价证券、贵重物品和好处费；不准在乙方报销任何应由甲方或个人支付的费用；不准参加有可能影响公正执行公务的乙方宴请、娱乐等活动；不准向乙方索要、肢解、分包工程，推荐分包单位。</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4、乙方不准以任何理由向甲方行贿或赠送回扣、礼金、有价证券、贵重物品和好处费、不准以任何理由为甲方报销任何应由甲方或个人支付的费用；不准以任何理由安排甲方参加有可能影响公正执行公务的乙方宴请、娱乐等活动；不准以转包、分包、肢解工程等形式为甲方谋取利益。</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5、甲方及其工作人员违反本条款第1、2、3条，按管理权限，依据有关规定给予党纪、政纪或组织处理；涉嫌犯罪的，移交司法机关追究刑事责任；给乙方单位造成经济损失的，应予以赔偿。</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6、乙方及其工作人员违反本条款第1、2、4条，按管理权限，依据有关规定，给予党纪、政纪或组织处理；给甲方单位造成经济损失的，应予以赔偿。</w:t>
      </w:r>
    </w:p>
    <w:p>
      <w:pPr>
        <w:snapToGrid w:val="0"/>
        <w:spacing w:line="360" w:lineRule="auto"/>
        <w:ind w:firstLine="420" w:firstLineChars="2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7、甲方举报电话及联系人：黄润明 0758-2909855；举报电子邮箱：zqjjjj2909855@163.com；举报受理部门：肇庆市交通集团有限公司纪检监察室。</w:t>
      </w:r>
    </w:p>
    <w:p>
      <w:pPr>
        <w:snapToGrid w:val="0"/>
        <w:spacing w:line="360" w:lineRule="auto"/>
        <w:ind w:left="2818" w:leftChars="342" w:hanging="2100" w:hangingChars="10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乙方举报电话及联系人：                    ；</w:t>
      </w:r>
    </w:p>
    <w:p>
      <w:pPr>
        <w:snapToGrid w:val="0"/>
        <w:spacing w:line="360" w:lineRule="auto"/>
        <w:ind w:left="2818" w:leftChars="342" w:hanging="2100" w:hangingChars="1000"/>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举报电子邮箱：       ；举报受理部门：          。</w:t>
      </w:r>
    </w:p>
    <w:tbl>
      <w:tblPr>
        <w:tblStyle w:val="14"/>
        <w:tblpPr w:leftFromText="180" w:rightFromText="180" w:vertAnchor="text" w:horzAnchor="page" w:tblpX="1892" w:tblpY="403"/>
        <w:tblOverlap w:val="never"/>
        <w:tblW w:w="9085" w:type="dxa"/>
        <w:tblInd w:w="0" w:type="dxa"/>
        <w:tblLayout w:type="fixed"/>
        <w:tblCellMar>
          <w:top w:w="0" w:type="dxa"/>
          <w:left w:w="108" w:type="dxa"/>
          <w:bottom w:w="0" w:type="dxa"/>
          <w:right w:w="108" w:type="dxa"/>
        </w:tblCellMar>
      </w:tblPr>
      <w:tblGrid>
        <w:gridCol w:w="4529"/>
        <w:gridCol w:w="4556"/>
      </w:tblGrid>
      <w:tr>
        <w:tblPrEx>
          <w:tblCellMar>
            <w:top w:w="0" w:type="dxa"/>
            <w:left w:w="108" w:type="dxa"/>
            <w:bottom w:w="0" w:type="dxa"/>
            <w:right w:w="108" w:type="dxa"/>
          </w:tblCellMar>
        </w:tblPrEx>
        <w:trPr>
          <w:trHeight w:val="694" w:hRule="atLeast"/>
        </w:trPr>
        <w:tc>
          <w:tcPr>
            <w:tcW w:w="4529" w:type="dxa"/>
            <w:tcBorders>
              <w:top w:val="nil"/>
              <w:left w:val="nil"/>
              <w:bottom w:val="nil"/>
              <w:right w:val="nil"/>
            </w:tcBorders>
          </w:tcPr>
          <w:p>
            <w:pPr>
              <w:spacing w:line="480" w:lineRule="exact"/>
              <w:rPr>
                <w:rFonts w:ascii="仿宋" w:hAnsi="仿宋" w:eastAsia="仿宋" w:cs="仿宋_GB2312"/>
                <w:color w:val="auto"/>
                <w:szCs w:val="21"/>
                <w:highlight w:val="none"/>
              </w:rPr>
            </w:pPr>
            <w:r>
              <w:rPr>
                <w:rFonts w:hint="eastAsia" w:ascii="仿宋" w:hAnsi="仿宋" w:eastAsia="仿宋" w:cs="仿宋_GB2312"/>
                <w:color w:val="auto"/>
                <w:szCs w:val="21"/>
                <w:highlight w:val="none"/>
              </w:rPr>
              <w:t>甲    方</w:t>
            </w:r>
          </w:p>
        </w:tc>
        <w:tc>
          <w:tcPr>
            <w:tcW w:w="4556" w:type="dxa"/>
            <w:tcBorders>
              <w:top w:val="nil"/>
              <w:left w:val="nil"/>
              <w:bottom w:val="nil"/>
              <w:right w:val="nil"/>
            </w:tcBorders>
          </w:tcPr>
          <w:p>
            <w:pPr>
              <w:spacing w:line="480" w:lineRule="exact"/>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乙    方</w:t>
            </w:r>
          </w:p>
          <w:p>
            <w:pPr>
              <w:spacing w:line="480" w:lineRule="exact"/>
              <w:jc w:val="center"/>
              <w:rPr>
                <w:rFonts w:ascii="仿宋" w:hAnsi="仿宋" w:eastAsia="仿宋" w:cs="仿宋_GB2312"/>
                <w:color w:val="auto"/>
                <w:szCs w:val="21"/>
                <w:highlight w:val="none"/>
              </w:rPr>
            </w:pPr>
          </w:p>
        </w:tc>
      </w:tr>
      <w:tr>
        <w:tblPrEx>
          <w:tblCellMar>
            <w:top w:w="0" w:type="dxa"/>
            <w:left w:w="108" w:type="dxa"/>
            <w:bottom w:w="0" w:type="dxa"/>
            <w:right w:w="108" w:type="dxa"/>
          </w:tblCellMar>
        </w:tblPrEx>
        <w:trPr>
          <w:trHeight w:val="786" w:hRule="atLeast"/>
        </w:trPr>
        <w:tc>
          <w:tcPr>
            <w:tcW w:w="4529" w:type="dxa"/>
            <w:tcBorders>
              <w:top w:val="nil"/>
              <w:left w:val="nil"/>
              <w:bottom w:val="nil"/>
              <w:right w:val="nil"/>
            </w:tcBorders>
          </w:tcPr>
          <w:p>
            <w:pPr>
              <w:spacing w:line="480" w:lineRule="exact"/>
              <w:ind w:left="57" w:right="-57"/>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单位名称： </w:t>
            </w:r>
          </w:p>
        </w:tc>
        <w:tc>
          <w:tcPr>
            <w:tcW w:w="4556" w:type="dxa"/>
            <w:tcBorders>
              <w:top w:val="nil"/>
              <w:left w:val="nil"/>
              <w:bottom w:val="nil"/>
              <w:right w:val="nil"/>
            </w:tcBorders>
          </w:tcPr>
          <w:p>
            <w:pPr>
              <w:spacing w:line="480" w:lineRule="exact"/>
              <w:ind w:left="-107" w:leftChars="-51" w:firstLine="1"/>
              <w:jc w:val="left"/>
              <w:rPr>
                <w:rFonts w:ascii="仿宋" w:hAnsi="仿宋" w:eastAsia="仿宋" w:cs="仿宋_GB2312"/>
                <w:color w:val="auto"/>
                <w:szCs w:val="21"/>
                <w:highlight w:val="none"/>
              </w:rPr>
            </w:pPr>
            <w:r>
              <w:rPr>
                <w:rFonts w:hint="eastAsia" w:ascii="仿宋" w:hAnsi="仿宋" w:eastAsia="仿宋" w:cs="仿宋_GB2312"/>
                <w:color w:val="auto"/>
                <w:spacing w:val="18"/>
                <w:kern w:val="0"/>
                <w:szCs w:val="21"/>
                <w:highlight w:val="none"/>
                <w:fitText w:val="1200" w:id="1394948813"/>
              </w:rPr>
              <w:t>单位名称</w:t>
            </w:r>
            <w:r>
              <w:rPr>
                <w:rFonts w:hint="eastAsia" w:ascii="仿宋" w:hAnsi="仿宋" w:eastAsia="仿宋" w:cs="仿宋_GB2312"/>
                <w:color w:val="auto"/>
                <w:spacing w:val="3"/>
                <w:kern w:val="0"/>
                <w:szCs w:val="21"/>
                <w:highlight w:val="none"/>
                <w:fitText w:val="1200" w:id="1394948813"/>
              </w:rPr>
              <w:t>：</w:t>
            </w:r>
          </w:p>
        </w:tc>
      </w:tr>
      <w:tr>
        <w:tblPrEx>
          <w:tblCellMar>
            <w:top w:w="0" w:type="dxa"/>
            <w:left w:w="108" w:type="dxa"/>
            <w:bottom w:w="0" w:type="dxa"/>
            <w:right w:w="108" w:type="dxa"/>
          </w:tblCellMar>
        </w:tblPrEx>
        <w:trPr>
          <w:trHeight w:val="481" w:hRule="atLeast"/>
        </w:trPr>
        <w:tc>
          <w:tcPr>
            <w:tcW w:w="4529" w:type="dxa"/>
            <w:tcBorders>
              <w:top w:val="nil"/>
              <w:left w:val="nil"/>
              <w:bottom w:val="nil"/>
              <w:right w:val="nil"/>
            </w:tcBorders>
          </w:tcPr>
          <w:p>
            <w:pPr>
              <w:spacing w:line="400" w:lineRule="exact"/>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法定代表人                                            </w:t>
            </w:r>
          </w:p>
          <w:p>
            <w:pPr>
              <w:spacing w:line="400" w:lineRule="exact"/>
              <w:ind w:right="-57"/>
              <w:rPr>
                <w:rFonts w:ascii="仿宋" w:hAnsi="仿宋" w:eastAsia="仿宋" w:cs="仿宋_GB2312"/>
                <w:color w:val="auto"/>
                <w:szCs w:val="21"/>
                <w:highlight w:val="none"/>
              </w:rPr>
            </w:pPr>
            <w:r>
              <w:rPr>
                <w:rFonts w:hint="eastAsia" w:ascii="仿宋" w:hAnsi="仿宋" w:eastAsia="仿宋" w:cs="仿宋_GB2312"/>
                <w:color w:val="auto"/>
                <w:szCs w:val="21"/>
                <w:highlight w:val="none"/>
              </w:rPr>
              <w:t>或其授权代理人：</w:t>
            </w:r>
          </w:p>
        </w:tc>
        <w:tc>
          <w:tcPr>
            <w:tcW w:w="4556" w:type="dxa"/>
            <w:tcBorders>
              <w:top w:val="nil"/>
              <w:left w:val="nil"/>
              <w:bottom w:val="nil"/>
              <w:right w:val="nil"/>
            </w:tcBorders>
          </w:tcPr>
          <w:p>
            <w:pPr>
              <w:spacing w:line="400" w:lineRule="exact"/>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法定代表人                                            </w:t>
            </w:r>
          </w:p>
          <w:p>
            <w:pPr>
              <w:spacing w:line="400" w:lineRule="exact"/>
              <w:rPr>
                <w:rFonts w:ascii="仿宋" w:hAnsi="仿宋" w:eastAsia="仿宋" w:cs="仿宋_GB2312"/>
                <w:color w:val="auto"/>
                <w:szCs w:val="21"/>
                <w:highlight w:val="none"/>
              </w:rPr>
            </w:pPr>
            <w:r>
              <w:rPr>
                <w:rFonts w:hint="eastAsia" w:ascii="仿宋" w:hAnsi="仿宋" w:eastAsia="仿宋" w:cs="仿宋_GB2312"/>
                <w:color w:val="auto"/>
                <w:szCs w:val="21"/>
                <w:highlight w:val="none"/>
              </w:rPr>
              <w:t>或其授权代理人：</w:t>
            </w:r>
          </w:p>
        </w:tc>
      </w:tr>
      <w:tr>
        <w:tblPrEx>
          <w:tblCellMar>
            <w:top w:w="0" w:type="dxa"/>
            <w:left w:w="108" w:type="dxa"/>
            <w:bottom w:w="0" w:type="dxa"/>
            <w:right w:w="108" w:type="dxa"/>
          </w:tblCellMar>
        </w:tblPrEx>
        <w:tc>
          <w:tcPr>
            <w:tcW w:w="4529" w:type="dxa"/>
            <w:tcBorders>
              <w:top w:val="nil"/>
              <w:left w:val="nil"/>
              <w:bottom w:val="nil"/>
              <w:right w:val="nil"/>
            </w:tcBorders>
            <w:vAlign w:val="center"/>
          </w:tcPr>
          <w:p>
            <w:pPr>
              <w:pStyle w:val="6"/>
              <w:jc w:val="left"/>
              <w:rPr>
                <w:rFonts w:ascii="仿宋" w:hAnsi="仿宋" w:eastAsia="仿宋" w:cs="仿宋_GB2312"/>
                <w:color w:val="auto"/>
                <w:szCs w:val="21"/>
                <w:highlight w:val="none"/>
              </w:rPr>
            </w:pPr>
            <w:r>
              <w:rPr>
                <w:rFonts w:hint="eastAsia" w:ascii="仿宋" w:hAnsi="仿宋" w:eastAsia="仿宋" w:cs="仿宋_GB2312"/>
                <w:color w:val="auto"/>
                <w:spacing w:val="12"/>
                <w:kern w:val="0"/>
                <w:szCs w:val="21"/>
                <w:highlight w:val="none"/>
                <w:fitText w:val="1200" w:id="144180256"/>
              </w:rPr>
              <w:t>税    号</w:t>
            </w:r>
            <w:r>
              <w:rPr>
                <w:rFonts w:hint="eastAsia" w:ascii="仿宋" w:hAnsi="仿宋" w:eastAsia="仿宋" w:cs="仿宋_GB2312"/>
                <w:color w:val="auto"/>
                <w:spacing w:val="3"/>
                <w:kern w:val="0"/>
                <w:szCs w:val="21"/>
                <w:highlight w:val="none"/>
                <w:fitText w:val="1200" w:id="144180256"/>
              </w:rPr>
              <w:t>：</w:t>
            </w:r>
            <w:r>
              <w:rPr>
                <w:rFonts w:hint="eastAsia" w:ascii="仿宋" w:hAnsi="仿宋" w:eastAsia="仿宋" w:cs="仿宋_GB2312"/>
                <w:color w:val="auto"/>
                <w:szCs w:val="21"/>
                <w:highlight w:val="none"/>
              </w:rPr>
              <w:t xml:space="preserve"> </w:t>
            </w:r>
          </w:p>
        </w:tc>
        <w:tc>
          <w:tcPr>
            <w:tcW w:w="4556" w:type="dxa"/>
            <w:tcBorders>
              <w:top w:val="nil"/>
              <w:left w:val="nil"/>
              <w:bottom w:val="nil"/>
              <w:right w:val="nil"/>
            </w:tcBorders>
          </w:tcPr>
          <w:p>
            <w:pPr>
              <w:spacing w:line="520" w:lineRule="exact"/>
              <w:ind w:left="-2" w:leftChars="-51" w:hanging="105" w:hangingChars="45"/>
              <w:rPr>
                <w:rFonts w:ascii="仿宋" w:hAnsi="仿宋" w:eastAsia="仿宋" w:cs="仿宋_GB2312"/>
                <w:color w:val="auto"/>
                <w:szCs w:val="21"/>
                <w:highlight w:val="none"/>
              </w:rPr>
            </w:pPr>
            <w:r>
              <w:rPr>
                <w:rFonts w:hint="eastAsia" w:ascii="仿宋" w:hAnsi="仿宋" w:eastAsia="仿宋" w:cs="仿宋_GB2312"/>
                <w:color w:val="auto"/>
                <w:spacing w:val="12"/>
                <w:kern w:val="0"/>
                <w:szCs w:val="21"/>
                <w:highlight w:val="none"/>
                <w:fitText w:val="1200" w:id="1158112422"/>
              </w:rPr>
              <w:t>税    号</w:t>
            </w:r>
            <w:r>
              <w:rPr>
                <w:rFonts w:hint="eastAsia" w:ascii="仿宋" w:hAnsi="仿宋" w:eastAsia="仿宋" w:cs="仿宋_GB2312"/>
                <w:color w:val="auto"/>
                <w:spacing w:val="3"/>
                <w:kern w:val="0"/>
                <w:szCs w:val="21"/>
                <w:highlight w:val="none"/>
                <w:fitText w:val="1200" w:id="1158112422"/>
              </w:rPr>
              <w:t>：</w:t>
            </w:r>
          </w:p>
        </w:tc>
      </w:tr>
      <w:tr>
        <w:tblPrEx>
          <w:tblCellMar>
            <w:top w:w="0" w:type="dxa"/>
            <w:left w:w="108" w:type="dxa"/>
            <w:bottom w:w="0" w:type="dxa"/>
            <w:right w:w="108" w:type="dxa"/>
          </w:tblCellMar>
        </w:tblPrEx>
        <w:tc>
          <w:tcPr>
            <w:tcW w:w="4529" w:type="dxa"/>
            <w:tcBorders>
              <w:top w:val="nil"/>
              <w:left w:val="nil"/>
              <w:bottom w:val="nil"/>
              <w:right w:val="nil"/>
            </w:tcBorders>
          </w:tcPr>
          <w:p>
            <w:pPr>
              <w:spacing w:line="520" w:lineRule="exact"/>
              <w:ind w:left="-13" w:leftChars="-51" w:hanging="94" w:hangingChars="45"/>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开户银行： </w:t>
            </w:r>
          </w:p>
        </w:tc>
        <w:tc>
          <w:tcPr>
            <w:tcW w:w="4556" w:type="dxa"/>
            <w:tcBorders>
              <w:top w:val="nil"/>
              <w:left w:val="nil"/>
              <w:bottom w:val="nil"/>
              <w:right w:val="nil"/>
            </w:tcBorders>
          </w:tcPr>
          <w:p>
            <w:pPr>
              <w:spacing w:line="520" w:lineRule="exact"/>
              <w:ind w:left="-13" w:leftChars="-51" w:hanging="94" w:hangingChars="45"/>
              <w:rPr>
                <w:rFonts w:ascii="仿宋" w:hAnsi="仿宋" w:eastAsia="仿宋" w:cs="仿宋_GB2312"/>
                <w:color w:val="auto"/>
                <w:szCs w:val="21"/>
                <w:highlight w:val="none"/>
              </w:rPr>
            </w:pPr>
            <w:r>
              <w:rPr>
                <w:rFonts w:hint="eastAsia" w:ascii="仿宋" w:hAnsi="仿宋" w:eastAsia="仿宋" w:cs="仿宋_GB2312"/>
                <w:color w:val="auto"/>
                <w:szCs w:val="21"/>
                <w:highlight w:val="none"/>
              </w:rPr>
              <w:t>开户银行：</w:t>
            </w:r>
          </w:p>
        </w:tc>
      </w:tr>
      <w:tr>
        <w:tblPrEx>
          <w:tblCellMar>
            <w:top w:w="0" w:type="dxa"/>
            <w:left w:w="108" w:type="dxa"/>
            <w:bottom w:w="0" w:type="dxa"/>
            <w:right w:w="108" w:type="dxa"/>
          </w:tblCellMar>
        </w:tblPrEx>
        <w:tc>
          <w:tcPr>
            <w:tcW w:w="4529" w:type="dxa"/>
            <w:tcBorders>
              <w:top w:val="nil"/>
              <w:left w:val="nil"/>
              <w:bottom w:val="nil"/>
              <w:right w:val="nil"/>
            </w:tcBorders>
          </w:tcPr>
          <w:p>
            <w:pPr>
              <w:spacing w:line="520" w:lineRule="exact"/>
              <w:ind w:left="-7" w:leftChars="-25" w:hanging="46" w:hangingChars="22"/>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帐   号： </w:t>
            </w:r>
          </w:p>
        </w:tc>
        <w:tc>
          <w:tcPr>
            <w:tcW w:w="4556" w:type="dxa"/>
            <w:tcBorders>
              <w:top w:val="nil"/>
              <w:left w:val="nil"/>
              <w:bottom w:val="nil"/>
              <w:right w:val="nil"/>
            </w:tcBorders>
          </w:tcPr>
          <w:p>
            <w:pPr>
              <w:spacing w:line="520" w:lineRule="exact"/>
              <w:ind w:left="-7" w:leftChars="-25" w:hanging="46" w:hangingChars="22"/>
              <w:rPr>
                <w:rFonts w:ascii="仿宋" w:hAnsi="仿宋" w:eastAsia="仿宋" w:cs="仿宋_GB2312"/>
                <w:color w:val="auto"/>
                <w:szCs w:val="21"/>
                <w:highlight w:val="none"/>
              </w:rPr>
            </w:pPr>
            <w:r>
              <w:rPr>
                <w:rFonts w:hint="eastAsia" w:ascii="仿宋" w:hAnsi="仿宋" w:eastAsia="仿宋" w:cs="仿宋_GB2312"/>
                <w:color w:val="auto"/>
                <w:szCs w:val="21"/>
                <w:highlight w:val="none"/>
              </w:rPr>
              <w:t>帐   号：</w:t>
            </w:r>
          </w:p>
        </w:tc>
      </w:tr>
      <w:tr>
        <w:tblPrEx>
          <w:tblCellMar>
            <w:top w:w="0" w:type="dxa"/>
            <w:left w:w="108" w:type="dxa"/>
            <w:bottom w:w="0" w:type="dxa"/>
            <w:right w:w="108" w:type="dxa"/>
          </w:tblCellMar>
        </w:tblPrEx>
        <w:tc>
          <w:tcPr>
            <w:tcW w:w="4529" w:type="dxa"/>
            <w:tcBorders>
              <w:top w:val="nil"/>
              <w:left w:val="nil"/>
              <w:bottom w:val="nil"/>
              <w:right w:val="nil"/>
            </w:tcBorders>
          </w:tcPr>
          <w:p>
            <w:pPr>
              <w:spacing w:line="520" w:lineRule="exact"/>
              <w:ind w:left="-13" w:leftChars="-51" w:hanging="94" w:hangingChars="45"/>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邮政编码： </w:t>
            </w:r>
          </w:p>
        </w:tc>
        <w:tc>
          <w:tcPr>
            <w:tcW w:w="4556" w:type="dxa"/>
            <w:tcBorders>
              <w:top w:val="nil"/>
              <w:left w:val="nil"/>
              <w:bottom w:val="nil"/>
              <w:right w:val="nil"/>
            </w:tcBorders>
          </w:tcPr>
          <w:p>
            <w:pPr>
              <w:spacing w:line="520" w:lineRule="exact"/>
              <w:ind w:left="-13" w:leftChars="-51" w:hanging="94" w:hangingChars="45"/>
              <w:rPr>
                <w:rFonts w:ascii="仿宋" w:hAnsi="仿宋" w:eastAsia="仿宋" w:cs="仿宋_GB2312"/>
                <w:color w:val="auto"/>
                <w:szCs w:val="21"/>
                <w:highlight w:val="none"/>
              </w:rPr>
            </w:pPr>
            <w:r>
              <w:rPr>
                <w:rFonts w:hint="eastAsia" w:ascii="仿宋" w:hAnsi="仿宋" w:eastAsia="仿宋" w:cs="仿宋_GB2312"/>
                <w:color w:val="auto"/>
                <w:szCs w:val="21"/>
                <w:highlight w:val="none"/>
              </w:rPr>
              <w:t>邮政编码：</w:t>
            </w:r>
          </w:p>
        </w:tc>
      </w:tr>
      <w:tr>
        <w:tblPrEx>
          <w:tblCellMar>
            <w:top w:w="0" w:type="dxa"/>
            <w:left w:w="108" w:type="dxa"/>
            <w:bottom w:w="0" w:type="dxa"/>
            <w:right w:w="108" w:type="dxa"/>
          </w:tblCellMar>
        </w:tblPrEx>
        <w:tc>
          <w:tcPr>
            <w:tcW w:w="4529" w:type="dxa"/>
            <w:tcBorders>
              <w:top w:val="nil"/>
              <w:left w:val="nil"/>
              <w:bottom w:val="nil"/>
              <w:right w:val="nil"/>
            </w:tcBorders>
          </w:tcPr>
          <w:p>
            <w:pPr>
              <w:spacing w:line="520" w:lineRule="exact"/>
              <w:ind w:left="-13" w:leftChars="-51" w:right="-57" w:hanging="94" w:hangingChars="45"/>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 xml:space="preserve">通讯地址： </w:t>
            </w:r>
          </w:p>
        </w:tc>
        <w:tc>
          <w:tcPr>
            <w:tcW w:w="4556" w:type="dxa"/>
            <w:tcBorders>
              <w:top w:val="nil"/>
              <w:left w:val="nil"/>
              <w:bottom w:val="nil"/>
              <w:right w:val="nil"/>
            </w:tcBorders>
          </w:tcPr>
          <w:p>
            <w:pPr>
              <w:spacing w:line="520" w:lineRule="exact"/>
              <w:ind w:left="-13" w:leftChars="-51" w:right="-57" w:hanging="94" w:hangingChars="45"/>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通讯地址：</w:t>
            </w:r>
          </w:p>
        </w:tc>
      </w:tr>
      <w:tr>
        <w:tblPrEx>
          <w:tblCellMar>
            <w:top w:w="0" w:type="dxa"/>
            <w:left w:w="108" w:type="dxa"/>
            <w:bottom w:w="0" w:type="dxa"/>
            <w:right w:w="108" w:type="dxa"/>
          </w:tblCellMar>
        </w:tblPrEx>
        <w:tc>
          <w:tcPr>
            <w:tcW w:w="4529" w:type="dxa"/>
            <w:tcBorders>
              <w:top w:val="nil"/>
              <w:left w:val="nil"/>
              <w:bottom w:val="nil"/>
              <w:right w:val="nil"/>
            </w:tcBorders>
          </w:tcPr>
          <w:p>
            <w:pPr>
              <w:spacing w:line="520" w:lineRule="exact"/>
              <w:ind w:left="57" w:right="-57"/>
              <w:rPr>
                <w:rFonts w:ascii="仿宋" w:hAnsi="仿宋" w:eastAsia="仿宋" w:cs="仿宋_GB2312"/>
                <w:color w:val="auto"/>
                <w:szCs w:val="21"/>
                <w:highlight w:val="none"/>
              </w:rPr>
            </w:pPr>
            <w:r>
              <w:rPr>
                <w:rFonts w:hint="eastAsia" w:ascii="仿宋" w:hAnsi="仿宋" w:eastAsia="仿宋" w:cs="仿宋_GB2312"/>
                <w:color w:val="auto"/>
                <w:szCs w:val="21"/>
                <w:highlight w:val="none"/>
              </w:rPr>
              <w:t>签约日期：202</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年    月   日</w:t>
            </w:r>
          </w:p>
        </w:tc>
        <w:tc>
          <w:tcPr>
            <w:tcW w:w="4556" w:type="dxa"/>
            <w:tcBorders>
              <w:top w:val="nil"/>
              <w:left w:val="nil"/>
              <w:bottom w:val="nil"/>
              <w:right w:val="nil"/>
            </w:tcBorders>
          </w:tcPr>
          <w:p>
            <w:pPr>
              <w:spacing w:line="520" w:lineRule="exact"/>
              <w:ind w:left="-13" w:leftChars="-51" w:right="-57" w:hanging="94" w:hangingChars="45"/>
              <w:jc w:val="left"/>
              <w:rPr>
                <w:rFonts w:ascii="仿宋" w:hAnsi="仿宋" w:eastAsia="仿宋" w:cs="仿宋_GB2312"/>
                <w:color w:val="auto"/>
                <w:szCs w:val="21"/>
                <w:highlight w:val="none"/>
              </w:rPr>
            </w:pPr>
            <w:r>
              <w:rPr>
                <w:rFonts w:hint="eastAsia" w:ascii="仿宋" w:hAnsi="仿宋" w:eastAsia="仿宋" w:cs="仿宋_GB2312"/>
                <w:color w:val="auto"/>
                <w:szCs w:val="21"/>
                <w:highlight w:val="none"/>
              </w:rPr>
              <w:t>签约日期：202</w:t>
            </w:r>
            <w:r>
              <w:rPr>
                <w:rFonts w:hint="eastAsia" w:ascii="仿宋" w:hAnsi="仿宋" w:eastAsia="仿宋" w:cs="仿宋_GB2312"/>
                <w:color w:val="auto"/>
                <w:szCs w:val="21"/>
                <w:highlight w:val="none"/>
                <w:lang w:val="en-US" w:eastAsia="zh-CN"/>
              </w:rPr>
              <w:t>3</w:t>
            </w:r>
            <w:r>
              <w:rPr>
                <w:rFonts w:hint="eastAsia" w:ascii="仿宋" w:hAnsi="仿宋" w:eastAsia="仿宋" w:cs="仿宋_GB2312"/>
                <w:color w:val="auto"/>
                <w:szCs w:val="21"/>
                <w:highlight w:val="none"/>
              </w:rPr>
              <w:t>年  月   日</w:t>
            </w:r>
          </w:p>
        </w:tc>
      </w:tr>
    </w:tbl>
    <w:p>
      <w:pPr>
        <w:rPr>
          <w:rFonts w:ascii="仿宋_GB2312" w:hAnsi="仿宋_GB2312" w:eastAsia="仿宋_GB2312" w:cs="仿宋_GB2312"/>
          <w:color w:val="auto"/>
          <w:sz w:val="28"/>
          <w:szCs w:val="28"/>
          <w:highlight w:val="none"/>
          <w:u w:val="singl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附件1：</w:t>
      </w:r>
    </w:p>
    <w:p>
      <w:pPr>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廉洁从业承诺书</w:t>
      </w:r>
    </w:p>
    <w:p>
      <w:pPr>
        <w:rPr>
          <w:rFonts w:ascii="仿宋_GB2312" w:hAnsi="仿宋_GB2312" w:eastAsia="仿宋_GB2312" w:cs="仿宋_GB2312"/>
          <w:color w:val="auto"/>
          <w:sz w:val="28"/>
          <w:szCs w:val="28"/>
          <w:highlight w:val="none"/>
          <w:u w:val="single"/>
        </w:rPr>
      </w:pPr>
    </w:p>
    <w:p>
      <w:pPr>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为进一步规范合同管理工作，杜绝在合同签署过程中的 不正之风和腐败现象，防止各种不正当行为的发生，根据国 家和地方有关规定，我单位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(填写公司全称) 自愿同意遵守如下承诺事项，并按承诺书的要求 承担相应的经济责任：</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一、承诺内容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1、承诺不赠送贵公司工作人员礼金、有价证券、物品等，不为贵公司工作人员报销任何费用；</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2、承诺不给予贵公司工作人员账外暗中支付各种回扣、佣金或任何变相贿赂 (如购物折扣等)；</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3、承诺不以洽谈工作、签订合同、联络感情等任何借口，邀请贵公司工作人员外出旅游和进入营业性娱乐场所 (含餐饮)；</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4、承诺不为贵公司工作人员住房装修、婚丧嫁娶、家 属和子女的工作安排以及出国等提供方便；</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5、承诺不招聘贵公司工作人员介绍的亲友从事与贵公司采购等相关联的工作；</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6、承诺不借款给贵公司的工作人员，不为贵公司的工作人员代购任何物品；</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承诺在参与贵公司组织的任何合同招标、签约、履行过程中，不做任何包括但不限于与其他投标方相互串通投标报价、排挤其他投标人、向贵公司工作人员行贿或弄虚作假，骗取中标等损害贵公司利益的行为；</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8、承诺不以任何直接或间接关系获得签订合同机会；</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9、承诺本着友好合作基本原则，在合作过程中决不发生侮辱、恐吓、伤害贵公司工作人员的行为；</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10、承诺在与贵公司业务交往过程中，决不擅自窃取、拿取贵公司任何物品、物件及相关资料(如技术、业务、采购、生产资料等)；</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11、承诺不泄露双方合作过程中知悉属贵公司的商业秘密；</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12、承诺切实履行与贵公司签订的任何合同、质量保证合同及其他相关合同、协议。</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二、执行承诺</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自觉接受贵公司及贵公司上级相关监督管理部门的监督检查，全面配合贵公司开展的上述廉洁、诚信承诺内容履行情况的检查工作。我单位知悉并将通过贵单位投诉举报渠道(集团本部纪检监察室举报投诉电话：0758-2909855)来维护双方的利益；</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2、若发现任何合同签署履行等合作过程中，贵公司工作人员存在索贿等违法、违纪行为的，我单位承诺配合贵单位做好抽查惩处工作；</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单位如果违反本承诺书承诺内容第1至第12款中任一款的承诺，愿意无条件向贵公司支付合同金额10%违约金，贵公司有权直接从我单位往来结算账户中扣除此违约金。且贵公司可以单方面解除双方之间所有协议而不需承担任何违约责任；</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若发生违反本承诺书的事由，给贵公司造成经济损失的，我单位承诺予以赔偿。贵公司除可执行本条第3款规定外，还可视经济损失情况保留对我单位终止或暂停结算的相关权利，且贵集团公司属下所有与我单位有业务往来的公司均有相关终止或暂停结算的权利。</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三、其他相关内容</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1、本承诺书不影响我单位按合同其它条款承担相关责任。</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2、本承诺书自我单位签字盖章之日起生效，承诺的有效期为合同期。在承诺有效期内，本承诺书对我单位与贵公司签订的每一项合同均具有效力。</w:t>
      </w:r>
    </w:p>
    <w:p>
      <w:pPr>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3、本承诺书作为合同的附件，与合同具有同等法律效力；承诺书一式贰份，双方各执一份，该承诺书在有效期内不可撤销。</w:t>
      </w:r>
    </w:p>
    <w:p>
      <w:pPr>
        <w:rPr>
          <w:rFonts w:ascii="仿宋_GB2312" w:hAnsi="仿宋_GB2312" w:eastAsia="仿宋_GB2312" w:cs="仿宋_GB2312"/>
          <w:color w:val="auto"/>
          <w:sz w:val="28"/>
          <w:szCs w:val="28"/>
          <w:highlight w:val="none"/>
          <w:u w:val="single"/>
        </w:rPr>
      </w:pPr>
    </w:p>
    <w:p>
      <w:pPr>
        <w:rPr>
          <w:rFonts w:ascii="仿宋_GB2312" w:hAnsi="仿宋_GB2312" w:eastAsia="仿宋_GB2312" w:cs="仿宋_GB2312"/>
          <w:color w:val="auto"/>
          <w:sz w:val="28"/>
          <w:szCs w:val="28"/>
          <w:highlight w:val="none"/>
          <w:u w:val="single"/>
        </w:rPr>
      </w:pPr>
    </w:p>
    <w:p>
      <w:pPr>
        <w:ind w:firstLine="840" w:firstLine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 (盖章)：</w:t>
      </w:r>
    </w:p>
    <w:p>
      <w:pPr>
        <w:jc w:val="right"/>
        <w:rPr>
          <w:rFonts w:ascii="仿宋_GB2312" w:hAnsi="仿宋_GB2312" w:eastAsia="仿宋_GB2312" w:cs="仿宋_GB2312"/>
          <w:color w:val="auto"/>
          <w:sz w:val="28"/>
          <w:szCs w:val="28"/>
          <w:highlight w:val="none"/>
          <w:u w:val="single"/>
        </w:rPr>
      </w:pPr>
    </w:p>
    <w:p>
      <w:pPr>
        <w:jc w:val="righ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年    月    日</w:t>
      </w:r>
    </w:p>
    <w:p>
      <w:pPr>
        <w:rPr>
          <w:rFonts w:ascii="仿宋_GB2312" w:hAnsi="仿宋_GB2312" w:eastAsia="仿宋_GB2312" w:cs="仿宋_GB2312"/>
          <w:color w:val="auto"/>
          <w:sz w:val="28"/>
          <w:szCs w:val="28"/>
          <w:highlight w:val="none"/>
          <w:u w:val="single"/>
        </w:rPr>
      </w:pPr>
    </w:p>
    <w:p>
      <w:pPr>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br w:type="page"/>
      </w:r>
    </w:p>
    <w:p>
      <w:pPr>
        <w:pStyle w:val="2"/>
        <w:adjustRightInd w:val="0"/>
        <w:snapToGrid w:val="0"/>
        <w:spacing w:before="0" w:after="0" w:line="240" w:lineRule="auto"/>
        <w:jc w:val="center"/>
        <w:rPr>
          <w:rFonts w:ascii="仿宋_GB2312" w:hAnsi="仿宋_GB2312" w:eastAsia="仿宋_GB2312" w:cs="仿宋_GB2312"/>
          <w:color w:val="auto"/>
          <w:sz w:val="32"/>
          <w:szCs w:val="32"/>
          <w:highlight w:val="none"/>
        </w:rPr>
      </w:pPr>
      <w:bookmarkStart w:id="20" w:name="_Toc16107_WPSOffice_Level1"/>
      <w:bookmarkStart w:id="21" w:name="_Toc25076"/>
      <w:bookmarkStart w:id="22" w:name="_Toc23563"/>
      <w:r>
        <w:rPr>
          <w:rFonts w:hint="eastAsia" w:ascii="仿宋_GB2312" w:hAnsi="仿宋_GB2312" w:eastAsia="仿宋_GB2312" w:cs="仿宋_GB2312"/>
          <w:color w:val="auto"/>
          <w:sz w:val="32"/>
          <w:szCs w:val="32"/>
          <w:highlight w:val="none"/>
        </w:rPr>
        <w:t>第六章 投标文件内容及格式</w:t>
      </w:r>
      <w:bookmarkEnd w:id="20"/>
      <w:bookmarkEnd w:id="21"/>
      <w:bookmarkEnd w:id="22"/>
    </w:p>
    <w:p>
      <w:pPr>
        <w:ind w:firstLine="482" w:firstLineChars="200"/>
        <w:rPr>
          <w:rFonts w:ascii="仿宋_GB2312" w:hAnsi="仿宋_GB2312" w:eastAsia="仿宋_GB2312" w:cs="仿宋_GB2312"/>
          <w:b/>
          <w:color w:val="auto"/>
          <w:sz w:val="24"/>
          <w:highlight w:val="none"/>
        </w:rPr>
      </w:pPr>
      <w:bookmarkStart w:id="23" w:name="投标文件内容及格式：Block"/>
      <w:bookmarkEnd w:id="23"/>
      <w:bookmarkStart w:id="24" w:name="sys_投标文件内容及格式：Block"/>
      <w:bookmarkEnd w:id="24"/>
    </w:p>
    <w:p>
      <w:pPr>
        <w:adjustRightInd w:val="0"/>
        <w:snapToGrid w:val="0"/>
        <w:spacing w:line="360" w:lineRule="auto"/>
        <w:ind w:firstLine="420" w:firstLineChars="200"/>
        <w:rPr>
          <w:rFonts w:ascii="仿宋_GB2312" w:hAnsi="仿宋_GB2312" w:eastAsia="仿宋_GB2312" w:cs="仿宋_GB2312"/>
          <w:color w:val="auto"/>
          <w:szCs w:val="21"/>
          <w:highlight w:val="none"/>
        </w:rPr>
      </w:pPr>
    </w:p>
    <w:p>
      <w:pPr>
        <w:adjustRightInd w:val="0"/>
        <w:snapToGrid w:val="0"/>
        <w:spacing w:line="360" w:lineRule="auto"/>
        <w:ind w:firstLine="420" w:firstLineChars="200"/>
        <w:rPr>
          <w:rFonts w:ascii="仿宋_GB2312" w:hAnsi="仿宋_GB2312" w:eastAsia="仿宋_GB2312" w:cs="仿宋_GB2312"/>
          <w:color w:val="auto"/>
          <w:kern w:val="0"/>
          <w:szCs w:val="21"/>
          <w:highlight w:val="none"/>
        </w:rPr>
      </w:pPr>
    </w:p>
    <w:p>
      <w:pPr>
        <w:snapToGrid w:val="0"/>
        <w:spacing w:line="276" w:lineRule="auto"/>
        <w:ind w:firstLine="420" w:firstLineChars="200"/>
        <w:jc w:val="left"/>
        <w:rPr>
          <w:rFonts w:ascii="仿宋_GB2312" w:hAnsi="仿宋_GB2312" w:eastAsia="仿宋_GB2312" w:cs="仿宋_GB2312"/>
          <w:color w:val="auto"/>
          <w:szCs w:val="21"/>
          <w:highlight w:val="none"/>
        </w:rPr>
      </w:pPr>
    </w:p>
    <w:p>
      <w:pPr>
        <w:snapToGrid w:val="0"/>
        <w:spacing w:line="276" w:lineRule="auto"/>
        <w:ind w:firstLine="420" w:firstLineChars="200"/>
        <w:jc w:val="left"/>
        <w:rPr>
          <w:rFonts w:ascii="仿宋_GB2312" w:hAnsi="仿宋_GB2312" w:eastAsia="仿宋_GB2312" w:cs="仿宋_GB2312"/>
          <w:color w:val="auto"/>
          <w:szCs w:val="21"/>
          <w:highlight w:val="none"/>
        </w:rPr>
      </w:pP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rPr>
          <w:rFonts w:ascii="仿宋_GB2312" w:hAnsi="仿宋_GB2312" w:eastAsia="仿宋_GB2312" w:cs="仿宋_GB2312"/>
          <w:color w:val="auto"/>
          <w:highlight w:val="none"/>
        </w:rPr>
      </w:pPr>
    </w:p>
    <w:p>
      <w:pPr>
        <w:tabs>
          <w:tab w:val="left" w:pos="6832"/>
        </w:tabs>
        <w:rPr>
          <w:rFonts w:ascii="仿宋_GB2312" w:hAnsi="仿宋_GB2312" w:eastAsia="仿宋_GB2312" w:cs="仿宋_GB2312"/>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4003675</wp:posOffset>
                </wp:positionH>
                <wp:positionV relativeFrom="paragraph">
                  <wp:posOffset>104140</wp:posOffset>
                </wp:positionV>
                <wp:extent cx="1253490" cy="563245"/>
                <wp:effectExtent l="5080" t="4445" r="11430" b="1651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15.25pt;margin-top:8.2pt;height:44.35pt;width:98.7pt;z-index:251659264;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DevENkAAAAKAQAADwAAAAAAAAAB&#10;ACAAAAAiAAAAZHJzL2Rvd25yZXYueG1sUEsBAhQAFAAAAAgAh07iQDaDirEPAgAARA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color w:val="auto"/>
          <w:highlight w:val="none"/>
        </w:rPr>
        <w:tab/>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jc w:val="center"/>
        <w:rPr>
          <w:rFonts w:ascii="仿宋_GB2312" w:hAnsi="仿宋_GB2312" w:eastAsia="仿宋_GB2312" w:cs="仿宋_GB2312"/>
          <w:b/>
          <w:bCs/>
          <w:color w:val="auto"/>
          <w:sz w:val="52"/>
          <w:szCs w:val="52"/>
          <w:highlight w:val="none"/>
        </w:rPr>
      </w:pPr>
      <w:r>
        <w:rPr>
          <w:rFonts w:hint="eastAsia" w:ascii="仿宋_GB2312" w:hAnsi="仿宋_GB2312" w:eastAsia="仿宋_GB2312" w:cs="仿宋_GB2312"/>
          <w:b/>
          <w:bCs/>
          <w:color w:val="auto"/>
          <w:sz w:val="52"/>
          <w:szCs w:val="52"/>
          <w:highlight w:val="none"/>
        </w:rPr>
        <w:t>投  标  文  件</w:t>
      </w: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标段号：第  标段</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目  录</w:t>
      </w:r>
    </w:p>
    <w:p>
      <w:pP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（格式自拟）</w:t>
      </w:r>
      <w:r>
        <w:rPr>
          <w:rFonts w:hint="eastAsia" w:ascii="仿宋_GB2312" w:hAnsi="仿宋_GB2312" w:eastAsia="仿宋_GB2312" w:cs="仿宋_GB2312"/>
          <w:color w:val="auto"/>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投标函</w:t>
      </w:r>
    </w:p>
    <w:p>
      <w:pPr>
        <w:adjustRightInd w:val="0"/>
        <w:snapToGrid w:val="0"/>
        <w:spacing w:line="360" w:lineRule="auto"/>
        <w:ind w:right="630" w:rightChars="3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致：</w:t>
      </w:r>
      <w:r>
        <w:rPr>
          <w:rFonts w:hint="eastAsia" w:ascii="仿宋_GB2312" w:hAnsi="仿宋_GB2312" w:eastAsia="仿宋_GB2312" w:cs="仿宋_GB2312"/>
          <w:color w:val="auto"/>
          <w:szCs w:val="21"/>
          <w:highlight w:val="none"/>
          <w:u w:val="single"/>
        </w:rPr>
        <w:t>（招标人名称）</w:t>
      </w:r>
    </w:p>
    <w:p>
      <w:pPr>
        <w:adjustRightInd w:val="0"/>
        <w:snapToGrid w:val="0"/>
        <w:spacing w:line="360" w:lineRule="auto"/>
        <w:ind w:right="-21" w:rightChars="-1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1.我方已仔细研究了</w:t>
      </w:r>
      <w:r>
        <w:rPr>
          <w:rFonts w:hint="eastAsia" w:ascii="仿宋_GB2312" w:hAnsi="仿宋_GB2312" w:eastAsia="仿宋_GB2312" w:cs="仿宋_GB2312"/>
          <w:color w:val="auto"/>
          <w:szCs w:val="21"/>
          <w:highlight w:val="none"/>
          <w:u w:val="single"/>
        </w:rPr>
        <w:t xml:space="preserve">                  （项目名称)</w:t>
      </w:r>
      <w:r>
        <w:rPr>
          <w:rFonts w:hint="eastAsia" w:ascii="仿宋_GB2312" w:hAnsi="仿宋_GB2312" w:eastAsia="仿宋_GB2312" w:cs="仿宋_GB2312"/>
          <w:color w:val="auto"/>
          <w:szCs w:val="21"/>
          <w:highlight w:val="none"/>
        </w:rPr>
        <w:t xml:space="preserve">招标文件的全部内容,愿以含税总价人民币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元（小写：</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元）的报价（增值税的税率为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%）完成本项目并按合同约定履行义务。</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2.我方承诺，我方响应招标文件的全部要求。</w:t>
      </w:r>
    </w:p>
    <w:p>
      <w:pPr>
        <w:adjustRightInd w:val="0"/>
        <w:snapToGrid w:val="0"/>
        <w:spacing w:line="360" w:lineRule="auto"/>
        <w:ind w:right="-21" w:rightChars="-1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3.本项目投标有效期为自递交投标文件截止之日起</w:t>
      </w:r>
      <w:r>
        <w:rPr>
          <w:rFonts w:hint="eastAsia" w:ascii="仿宋_GB2312" w:hAnsi="仿宋_GB2312" w:eastAsia="仿宋_GB2312" w:cs="仿宋_GB2312"/>
          <w:color w:val="auto"/>
          <w:szCs w:val="21"/>
          <w:highlight w:val="none"/>
          <w:u w:val="single"/>
        </w:rPr>
        <w:t>90</w:t>
      </w:r>
      <w:r>
        <w:rPr>
          <w:rFonts w:hint="eastAsia" w:ascii="仿宋_GB2312" w:hAnsi="仿宋_GB2312" w:eastAsia="仿宋_GB2312" w:cs="仿宋_GB2312"/>
          <w:color w:val="auto"/>
          <w:szCs w:val="21"/>
          <w:highlight w:val="none"/>
        </w:rPr>
        <w:t>日历日。</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4.我方承诺在投标有效期内不撤销投标文件。</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5.我方完全理解你方不一定接受最低报价的投标文件或收到的任何投标文件。</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6.如我方中标，我方承诺：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（1）在收到中标通知书后，在招标文件规定的时间期限内与你方签订合同。</w:t>
      </w:r>
    </w:p>
    <w:p>
      <w:pPr>
        <w:pStyle w:val="20"/>
        <w:rPr>
          <w:rFonts w:ascii="仿宋_GB2312" w:hAnsi="仿宋_GB2312" w:eastAsia="仿宋_GB2312" w:cs="仿宋_GB2312"/>
          <w:color w:val="auto"/>
          <w:spacing w:val="0"/>
          <w:kern w:val="2"/>
          <w:sz w:val="21"/>
          <w:szCs w:val="21"/>
          <w:highlight w:val="none"/>
        </w:rPr>
      </w:pPr>
      <w:r>
        <w:rPr>
          <w:rFonts w:hint="eastAsia" w:ascii="仿宋_GB2312" w:hAnsi="仿宋_GB2312" w:eastAsia="仿宋_GB2312" w:cs="仿宋_GB2312"/>
          <w:color w:val="auto"/>
          <w:spacing w:val="0"/>
          <w:kern w:val="2"/>
          <w:sz w:val="21"/>
          <w:szCs w:val="21"/>
          <w:highlight w:val="none"/>
        </w:rPr>
        <w:t>（2）在签订合同时不向你方提出附加条件。</w:t>
      </w:r>
    </w:p>
    <w:p>
      <w:pPr>
        <w:pStyle w:val="21"/>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（3）按照招标文件的要求递交履约保证金。</w:t>
      </w:r>
    </w:p>
    <w:p>
      <w:pPr>
        <w:pStyle w:val="21"/>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（4）在合同期限内完成合同规定的全部义务。</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7.我方在此声明，所递交的投标文件及有关资料内容完整、真实和准确，且不存在招标文件中投标人不得存在的情形。</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8.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（其他补充说明）。</w:t>
      </w:r>
    </w:p>
    <w:p>
      <w:pPr>
        <w:snapToGrid w:val="0"/>
        <w:spacing w:line="360" w:lineRule="auto"/>
        <w:ind w:right="1050" w:rightChars="500"/>
        <w:rPr>
          <w:rFonts w:ascii="仿宋_GB2312" w:hAnsi="仿宋_GB2312" w:eastAsia="仿宋_GB2312" w:cs="仿宋_GB2312"/>
          <w:color w:val="auto"/>
          <w:szCs w:val="21"/>
          <w:highlight w:val="none"/>
        </w:rPr>
      </w:pPr>
    </w:p>
    <w:p>
      <w:pPr>
        <w:snapToGrid w:val="0"/>
        <w:spacing w:line="360" w:lineRule="auto"/>
        <w:ind w:right="1050" w:rightChars="500"/>
        <w:rPr>
          <w:rFonts w:ascii="仿宋_GB2312" w:hAnsi="仿宋_GB2312" w:eastAsia="仿宋_GB2312" w:cs="仿宋_GB2312"/>
          <w:color w:val="auto"/>
          <w:szCs w:val="21"/>
          <w:highlight w:val="none"/>
        </w:rPr>
      </w:pPr>
    </w:p>
    <w:p>
      <w:pPr>
        <w:snapToGrid w:val="0"/>
        <w:spacing w:line="360" w:lineRule="auto"/>
        <w:ind w:right="1050" w:rightChars="5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napToGrid w:val="0"/>
        <w:spacing w:line="360" w:lineRule="auto"/>
        <w:ind w:right="1050" w:rightChars="500"/>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法定代表人或其授权委托人</w:t>
      </w:r>
      <w:r>
        <w:rPr>
          <w:rFonts w:hint="eastAsia" w:ascii="仿宋_GB2312" w:hAnsi="仿宋_GB2312" w:eastAsia="仿宋_GB2312" w:cs="仿宋_GB2312"/>
          <w:color w:val="auto"/>
          <w:highlight w:val="none"/>
        </w:rPr>
        <w:t xml:space="preserve"> (签字或盖章)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p>
    <w:p>
      <w:pPr>
        <w:snapToGrid w:val="0"/>
        <w:spacing w:line="360" w:lineRule="auto"/>
        <w:ind w:right="1050" w:rightChars="5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spacing w:line="360" w:lineRule="exact"/>
        <w:ind w:right="1050" w:rightChars="500" w:firstLine="476" w:firstLineChars="227"/>
        <w:rPr>
          <w:rFonts w:ascii="仿宋_GB2312" w:hAnsi="仿宋_GB2312" w:eastAsia="仿宋_GB2312" w:cs="仿宋_GB2312"/>
          <w:color w:val="auto"/>
          <w:szCs w:val="21"/>
          <w:highlight w:val="none"/>
        </w:rPr>
      </w:pPr>
    </w:p>
    <w:p>
      <w:pPr>
        <w:adjustRightInd w:val="0"/>
        <w:snapToGrid w:val="0"/>
        <w:spacing w:line="360" w:lineRule="auto"/>
        <w:ind w:right="1050" w:rightChars="500" w:firstLine="476" w:firstLineChars="227"/>
        <w:rPr>
          <w:rFonts w:ascii="仿宋_GB2312" w:hAnsi="仿宋_GB2312" w:eastAsia="仿宋_GB2312" w:cs="仿宋_GB2312"/>
          <w:color w:val="auto"/>
          <w:szCs w:val="21"/>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报价一览表</w:t>
      </w:r>
    </w:p>
    <w:p>
      <w:pPr>
        <w:adjustRightInd w:val="0"/>
        <w:snapToGrid w:val="0"/>
        <w:spacing w:line="360" w:lineRule="auto"/>
        <w:ind w:right="105" w:rightChars="50"/>
        <w:jc w:val="righ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                                               报价单位：人民币元</w:t>
      </w:r>
    </w:p>
    <w:tbl>
      <w:tblPr>
        <w:tblStyle w:val="14"/>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vAlign w:val="center"/>
          </w:tcPr>
          <w:p>
            <w:pPr>
              <w:adjustRightInd w:val="0"/>
              <w:snapToGrid w:val="0"/>
              <w:ind w:left="-86" w:leftChars="-41" w:right="-67" w:rightChars="-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标段号</w:t>
            </w:r>
          </w:p>
        </w:tc>
        <w:tc>
          <w:tcPr>
            <w:tcW w:w="2563" w:type="dxa"/>
            <w:vAlign w:val="center"/>
          </w:tcPr>
          <w:p>
            <w:pPr>
              <w:adjustRightInd w:val="0"/>
              <w:snapToGrid w:val="0"/>
              <w:ind w:left="-86" w:leftChars="-41" w:right="-67" w:rightChars="-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招标项目名称</w:t>
            </w:r>
          </w:p>
        </w:tc>
        <w:tc>
          <w:tcPr>
            <w:tcW w:w="1948" w:type="dxa"/>
            <w:vAlign w:val="center"/>
          </w:tcPr>
          <w:p>
            <w:pPr>
              <w:adjustRightInd w:val="0"/>
              <w:snapToGrid w:val="0"/>
              <w:ind w:left="-86" w:leftChars="-41" w:right="-67" w:rightChars="-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投标总价</w:t>
            </w:r>
          </w:p>
        </w:tc>
        <w:tc>
          <w:tcPr>
            <w:tcW w:w="1523" w:type="dxa"/>
            <w:vAlign w:val="center"/>
          </w:tcPr>
          <w:p>
            <w:pPr>
              <w:adjustRightInd w:val="0"/>
              <w:snapToGrid w:val="0"/>
              <w:ind w:left="-86" w:leftChars="-41" w:right="-67" w:rightChars="-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工期（天）</w:t>
            </w:r>
          </w:p>
        </w:tc>
        <w:tc>
          <w:tcPr>
            <w:tcW w:w="1101" w:type="dxa"/>
            <w:vAlign w:val="center"/>
          </w:tcPr>
          <w:p>
            <w:pPr>
              <w:adjustRightInd w:val="0"/>
              <w:snapToGrid w:val="0"/>
              <w:ind w:left="-86" w:leftChars="-41" w:right="-67" w:rightChars="-32"/>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vAlign w:val="center"/>
          </w:tcPr>
          <w:p>
            <w:pPr>
              <w:adjustRightInd w:val="0"/>
              <w:snapToGrid w:val="0"/>
              <w:ind w:right="105" w:rightChars="50"/>
              <w:jc w:val="left"/>
              <w:rPr>
                <w:rFonts w:ascii="仿宋_GB2312" w:hAnsi="仿宋_GB2312" w:eastAsia="仿宋_GB2312" w:cs="仿宋_GB2312"/>
                <w:color w:val="auto"/>
                <w:szCs w:val="21"/>
                <w:highlight w:val="none"/>
              </w:rPr>
            </w:pPr>
          </w:p>
        </w:tc>
        <w:tc>
          <w:tcPr>
            <w:tcW w:w="2563" w:type="dxa"/>
            <w:vAlign w:val="center"/>
          </w:tcPr>
          <w:p>
            <w:pPr>
              <w:adjustRightInd w:val="0"/>
              <w:snapToGrid w:val="0"/>
              <w:ind w:right="105" w:rightChars="50"/>
              <w:jc w:val="left"/>
              <w:rPr>
                <w:rFonts w:ascii="仿宋_GB2312" w:hAnsi="仿宋_GB2312" w:eastAsia="仿宋_GB2312" w:cs="仿宋_GB2312"/>
                <w:color w:val="auto"/>
                <w:szCs w:val="21"/>
                <w:highlight w:val="none"/>
              </w:rPr>
            </w:pPr>
          </w:p>
        </w:tc>
        <w:tc>
          <w:tcPr>
            <w:tcW w:w="1948" w:type="dxa"/>
            <w:vAlign w:val="center"/>
          </w:tcPr>
          <w:p>
            <w:pPr>
              <w:adjustRightInd w:val="0"/>
              <w:snapToGrid w:val="0"/>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大写：</w:t>
            </w:r>
          </w:p>
          <w:p>
            <w:pPr>
              <w:adjustRightInd w:val="0"/>
              <w:snapToGrid w:val="0"/>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小写：</w:t>
            </w:r>
          </w:p>
        </w:tc>
        <w:tc>
          <w:tcPr>
            <w:tcW w:w="1523"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c>
          <w:tcPr>
            <w:tcW w:w="1101" w:type="dxa"/>
            <w:vAlign w:val="center"/>
          </w:tcPr>
          <w:p>
            <w:pPr>
              <w:adjustRightInd w:val="0"/>
              <w:snapToGrid w:val="0"/>
              <w:ind w:right="105" w:rightChars="50"/>
              <w:jc w:val="center"/>
              <w:rPr>
                <w:rFonts w:ascii="仿宋_GB2312" w:hAnsi="仿宋_GB2312" w:eastAsia="仿宋_GB2312" w:cs="仿宋_GB2312"/>
                <w:color w:val="auto"/>
                <w:szCs w:val="21"/>
                <w:highlight w:val="none"/>
              </w:rPr>
            </w:pPr>
          </w:p>
        </w:tc>
      </w:tr>
    </w:tbl>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注：此表中，投标总价应与分项报价表的总价相一致</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u w:val="singl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分项报价表（服务/工程适用）</w:t>
      </w:r>
    </w:p>
    <w:p>
      <w:pPr>
        <w:adjustRightInd w:val="0"/>
        <w:snapToGrid w:val="0"/>
        <w:spacing w:line="360" w:lineRule="auto"/>
        <w:ind w:right="105" w:rightChars="50"/>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包号：                                                 报价单位（元）：</w:t>
      </w:r>
    </w:p>
    <w:tbl>
      <w:tblPr>
        <w:tblStyle w:val="1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2677"/>
        <w:gridCol w:w="545"/>
        <w:gridCol w:w="637"/>
        <w:gridCol w:w="867"/>
        <w:gridCol w:w="169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61"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267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分项名称</w:t>
            </w:r>
          </w:p>
        </w:tc>
        <w:tc>
          <w:tcPr>
            <w:tcW w:w="545"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w:t>
            </w:r>
          </w:p>
        </w:tc>
        <w:tc>
          <w:tcPr>
            <w:tcW w:w="63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数量</w:t>
            </w:r>
          </w:p>
        </w:tc>
        <w:tc>
          <w:tcPr>
            <w:tcW w:w="86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单价</w:t>
            </w:r>
          </w:p>
        </w:tc>
        <w:tc>
          <w:tcPr>
            <w:tcW w:w="1690"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合价</w:t>
            </w:r>
          </w:p>
        </w:tc>
        <w:tc>
          <w:tcPr>
            <w:tcW w:w="1188"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67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用地报批技术服务工作，组卷完成并上报至具有审批权限的自然资源主管部门</w:t>
            </w:r>
          </w:p>
        </w:tc>
        <w:tc>
          <w:tcPr>
            <w:tcW w:w="545"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w:t>
            </w:r>
          </w:p>
        </w:tc>
        <w:tc>
          <w:tcPr>
            <w:tcW w:w="63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867" w:type="dxa"/>
            <w:vAlign w:val="center"/>
          </w:tcPr>
          <w:p>
            <w:pPr>
              <w:adjustRightInd w:val="0"/>
              <w:snapToGrid w:val="0"/>
              <w:jc w:val="center"/>
              <w:rPr>
                <w:rFonts w:ascii="仿宋_GB2312" w:hAnsi="仿宋_GB2312" w:eastAsia="仿宋_GB2312" w:cs="仿宋_GB2312"/>
                <w:color w:val="auto"/>
                <w:szCs w:val="21"/>
                <w:highlight w:val="none"/>
              </w:rPr>
            </w:pPr>
          </w:p>
        </w:tc>
        <w:tc>
          <w:tcPr>
            <w:tcW w:w="1690" w:type="dxa"/>
            <w:vAlign w:val="center"/>
          </w:tcPr>
          <w:p>
            <w:pPr>
              <w:adjustRightInd w:val="0"/>
              <w:snapToGrid w:val="0"/>
              <w:jc w:val="center"/>
              <w:rPr>
                <w:rFonts w:ascii="仿宋_GB2312" w:hAnsi="仿宋_GB2312" w:eastAsia="仿宋_GB2312" w:cs="仿宋_GB2312"/>
                <w:color w:val="auto"/>
                <w:szCs w:val="21"/>
                <w:highlight w:val="none"/>
              </w:rPr>
            </w:pPr>
          </w:p>
        </w:tc>
        <w:tc>
          <w:tcPr>
            <w:tcW w:w="1188"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61" w:type="dxa"/>
            <w:vAlign w:val="center"/>
          </w:tcPr>
          <w:p>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267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占用耕地耕作层土壤剥离再利用方案编制技术服务工作，完成耕作层剥离及再利用方案编制并上报各级主管部门审批</w:t>
            </w:r>
          </w:p>
        </w:tc>
        <w:tc>
          <w:tcPr>
            <w:tcW w:w="545"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w:t>
            </w:r>
          </w:p>
        </w:tc>
        <w:tc>
          <w:tcPr>
            <w:tcW w:w="63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867" w:type="dxa"/>
            <w:vAlign w:val="center"/>
          </w:tcPr>
          <w:p>
            <w:pPr>
              <w:adjustRightInd w:val="0"/>
              <w:snapToGrid w:val="0"/>
              <w:jc w:val="center"/>
              <w:rPr>
                <w:rFonts w:ascii="仿宋_GB2312" w:hAnsi="仿宋_GB2312" w:eastAsia="仿宋_GB2312" w:cs="仿宋_GB2312"/>
                <w:color w:val="auto"/>
                <w:szCs w:val="21"/>
                <w:highlight w:val="none"/>
              </w:rPr>
            </w:pPr>
          </w:p>
        </w:tc>
        <w:tc>
          <w:tcPr>
            <w:tcW w:w="1690" w:type="dxa"/>
            <w:vAlign w:val="center"/>
          </w:tcPr>
          <w:p>
            <w:pPr>
              <w:adjustRightInd w:val="0"/>
              <w:snapToGrid w:val="0"/>
              <w:jc w:val="center"/>
              <w:rPr>
                <w:rFonts w:ascii="仿宋_GB2312" w:hAnsi="仿宋_GB2312" w:eastAsia="仿宋_GB2312" w:cs="仿宋_GB2312"/>
                <w:color w:val="auto"/>
                <w:szCs w:val="21"/>
                <w:highlight w:val="none"/>
              </w:rPr>
            </w:pPr>
          </w:p>
        </w:tc>
        <w:tc>
          <w:tcPr>
            <w:tcW w:w="1188"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vAlign w:val="center"/>
          </w:tcPr>
          <w:p>
            <w:pPr>
              <w:adjustRightInd w:val="0"/>
              <w:snapToGrid w:val="0"/>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w:t>
            </w:r>
          </w:p>
        </w:tc>
        <w:tc>
          <w:tcPr>
            <w:tcW w:w="267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土地勘测定界技术报告编制技术服务工作，出具土地勘测定界报告成果</w:t>
            </w:r>
          </w:p>
        </w:tc>
        <w:tc>
          <w:tcPr>
            <w:tcW w:w="545"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w:t>
            </w:r>
          </w:p>
        </w:tc>
        <w:tc>
          <w:tcPr>
            <w:tcW w:w="637" w:type="dxa"/>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867" w:type="dxa"/>
            <w:vAlign w:val="center"/>
          </w:tcPr>
          <w:p>
            <w:pPr>
              <w:adjustRightInd w:val="0"/>
              <w:snapToGrid w:val="0"/>
              <w:jc w:val="center"/>
              <w:rPr>
                <w:rFonts w:ascii="仿宋_GB2312" w:hAnsi="仿宋_GB2312" w:eastAsia="仿宋_GB2312" w:cs="仿宋_GB2312"/>
                <w:color w:val="auto"/>
                <w:szCs w:val="21"/>
                <w:highlight w:val="none"/>
              </w:rPr>
            </w:pPr>
          </w:p>
        </w:tc>
        <w:tc>
          <w:tcPr>
            <w:tcW w:w="1690" w:type="dxa"/>
            <w:vAlign w:val="center"/>
          </w:tcPr>
          <w:p>
            <w:pPr>
              <w:adjustRightInd w:val="0"/>
              <w:snapToGrid w:val="0"/>
              <w:jc w:val="center"/>
              <w:rPr>
                <w:rFonts w:ascii="仿宋_GB2312" w:hAnsi="仿宋_GB2312" w:eastAsia="仿宋_GB2312" w:cs="仿宋_GB2312"/>
                <w:color w:val="auto"/>
                <w:szCs w:val="21"/>
                <w:highlight w:val="none"/>
              </w:rPr>
            </w:pPr>
          </w:p>
        </w:tc>
        <w:tc>
          <w:tcPr>
            <w:tcW w:w="1188" w:type="dxa"/>
            <w:vAlign w:val="center"/>
          </w:tcPr>
          <w:p>
            <w:pPr>
              <w:adjustRightInd w:val="0"/>
              <w:snapToGrid w:val="0"/>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238" w:type="dxa"/>
            <w:gridSpan w:val="2"/>
            <w:vAlign w:val="center"/>
          </w:tcPr>
          <w:p>
            <w:pPr>
              <w:adjustRightInd w:val="0"/>
              <w:snapToGrid w:val="0"/>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总价</w:t>
            </w:r>
          </w:p>
        </w:tc>
        <w:tc>
          <w:tcPr>
            <w:tcW w:w="4927" w:type="dxa"/>
            <w:gridSpan w:val="5"/>
            <w:vAlign w:val="center"/>
          </w:tcPr>
          <w:p>
            <w:pPr>
              <w:adjustRightInd w:val="0"/>
              <w:snapToGrid w:val="0"/>
              <w:jc w:val="center"/>
              <w:rPr>
                <w:rFonts w:ascii="仿宋_GB2312" w:hAnsi="仿宋_GB2312" w:eastAsia="仿宋_GB2312" w:cs="仿宋_GB2312"/>
                <w:color w:val="auto"/>
                <w:szCs w:val="21"/>
                <w:highlight w:val="none"/>
              </w:rPr>
            </w:pPr>
          </w:p>
        </w:tc>
      </w:tr>
    </w:tbl>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注：此表中，总价应与报价一览表的响应总价相一致。</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投标人(加盖单位公章):</w:t>
      </w:r>
      <w:r>
        <w:rPr>
          <w:rFonts w:hint="eastAsia" w:ascii="仿宋_GB2312" w:hAnsi="仿宋_GB2312" w:eastAsia="仿宋_GB2312" w:cs="仿宋_GB2312"/>
          <w:color w:val="auto"/>
          <w:szCs w:val="21"/>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法定代表人或其授权委托人</w:t>
      </w:r>
      <w:r>
        <w:rPr>
          <w:rFonts w:hint="eastAsia" w:ascii="仿宋_GB2312" w:hAnsi="仿宋_GB2312" w:eastAsia="仿宋_GB2312" w:cs="仿宋_GB2312"/>
          <w:color w:val="auto"/>
          <w:highlight w:val="none"/>
        </w:rPr>
        <w:t xml:space="preserve"> (签字或盖章)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 xml:space="preserve">日     期: </w:t>
      </w:r>
      <w:r>
        <w:rPr>
          <w:rFonts w:hint="eastAsia" w:ascii="仿宋_GB2312" w:hAnsi="仿宋_GB2312" w:eastAsia="仿宋_GB2312" w:cs="仿宋_GB2312"/>
          <w:color w:val="auto"/>
          <w:szCs w:val="21"/>
          <w:highlight w:val="none"/>
          <w:u w:val="singl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strike/>
          <w:color w:val="auto"/>
          <w:szCs w:val="21"/>
          <w:highlight w:val="none"/>
          <w:u w:val="singl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法定代表人身份证明书</w:t>
      </w:r>
    </w:p>
    <w:p>
      <w:pPr>
        <w:spacing w:line="360" w:lineRule="auto"/>
        <w:ind w:firstLine="840" w:firstLineChars="4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，性别：</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，出生日期：</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，现任职务：</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，系</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（投标人名称）的法定代表人。</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特此证明。</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tbl>
      <w:tblPr>
        <w:tblStyle w:val="1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（※法定代表人身份证正、反面复印件※）</w:t>
            </w:r>
          </w:p>
        </w:tc>
      </w:tr>
    </w:tbl>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注：身份证复印件如为粘贴的，须在身份证复印件与本页接缝处加盖公章。</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法定代表人授权委托书</w:t>
      </w:r>
    </w:p>
    <w:p>
      <w:pPr>
        <w:spacing w:line="360" w:lineRule="auto"/>
        <w:ind w:firstLine="420" w:firstLineChars="200"/>
        <w:rPr>
          <w:rFonts w:ascii="仿宋_GB2312" w:hAnsi="仿宋_GB2312" w:eastAsia="仿宋_GB2312" w:cs="仿宋_GB2312"/>
          <w:color w:val="auto"/>
          <w:szCs w:val="21"/>
          <w:highlight w:val="none"/>
          <w:u w:val="single"/>
        </w:rPr>
      </w:pP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本人</w:t>
      </w:r>
      <w:r>
        <w:rPr>
          <w:rFonts w:hint="eastAsia" w:ascii="仿宋_GB2312" w:hAnsi="仿宋_GB2312" w:eastAsia="仿宋_GB2312" w:cs="仿宋_GB2312"/>
          <w:color w:val="auto"/>
          <w:szCs w:val="21"/>
          <w:highlight w:val="none"/>
          <w:u w:val="single"/>
        </w:rPr>
        <w:t xml:space="preserve">       （姓名）</w:t>
      </w:r>
      <w:r>
        <w:rPr>
          <w:rFonts w:hint="eastAsia" w:ascii="仿宋_GB2312" w:hAnsi="仿宋_GB2312" w:eastAsia="仿宋_GB2312" w:cs="仿宋_GB2312"/>
          <w:color w:val="auto"/>
          <w:szCs w:val="21"/>
          <w:highlight w:val="none"/>
        </w:rPr>
        <w:t xml:space="preserve">是 </w:t>
      </w:r>
      <w:r>
        <w:rPr>
          <w:rFonts w:hint="eastAsia" w:ascii="仿宋_GB2312" w:hAnsi="仿宋_GB2312" w:eastAsia="仿宋_GB2312" w:cs="仿宋_GB2312"/>
          <w:color w:val="auto"/>
          <w:szCs w:val="21"/>
          <w:highlight w:val="none"/>
          <w:u w:val="single"/>
        </w:rPr>
        <w:t xml:space="preserve">           （投标人名称）</w:t>
      </w:r>
      <w:r>
        <w:rPr>
          <w:rFonts w:hint="eastAsia" w:ascii="仿宋_GB2312" w:hAnsi="仿宋_GB2312" w:eastAsia="仿宋_GB2312" w:cs="仿宋_GB2312"/>
          <w:color w:val="auto"/>
          <w:szCs w:val="21"/>
          <w:highlight w:val="none"/>
        </w:rPr>
        <w:t>的法定代表人。现委托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（姓名）为我方代理人。代理人根据授权，以我方名义签署、澄清确认、递交、撤回、修改 </w:t>
      </w:r>
      <w:r>
        <w:rPr>
          <w:rFonts w:hint="eastAsia" w:ascii="仿宋_GB2312" w:hAnsi="仿宋_GB2312" w:eastAsia="仿宋_GB2312" w:cs="仿宋_GB2312"/>
          <w:color w:val="auto"/>
          <w:szCs w:val="21"/>
          <w:highlight w:val="none"/>
          <w:u w:val="single"/>
        </w:rPr>
        <w:t xml:space="preserve">       （项目名称、包号）</w:t>
      </w:r>
      <w:r>
        <w:rPr>
          <w:rFonts w:hint="eastAsia" w:ascii="仿宋_GB2312" w:hAnsi="仿宋_GB2312" w:eastAsia="仿宋_GB2312" w:cs="仿宋_GB2312"/>
          <w:color w:val="auto"/>
          <w:szCs w:val="21"/>
          <w:highlight w:val="none"/>
        </w:rPr>
        <w:t>投标文件、签订合同和处理有关事宜，其法律后果由我方承担。</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委托期限：自本委托书签署之日起至投标有效期期满。</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代理人无转委托权</w:t>
      </w:r>
      <w:r>
        <w:rPr>
          <w:rFonts w:hint="eastAsia" w:ascii="仿宋_GB2312" w:hAnsi="仿宋_GB2312" w:eastAsia="仿宋_GB2312" w:cs="仿宋_GB2312"/>
          <w:color w:val="auto"/>
          <w:szCs w:val="21"/>
          <w:highlight w:val="none"/>
        </w:rPr>
        <w:t>。</w:t>
      </w:r>
    </w:p>
    <w:p>
      <w:pPr>
        <w:spacing w:line="360" w:lineRule="auto"/>
        <w:rPr>
          <w:rFonts w:ascii="仿宋_GB2312" w:hAnsi="仿宋_GB2312" w:eastAsia="仿宋_GB2312" w:cs="仿宋_GB2312"/>
          <w:color w:val="auto"/>
          <w:szCs w:val="21"/>
          <w:highlight w:val="none"/>
        </w:rPr>
      </w:pPr>
    </w:p>
    <w:tbl>
      <w:tblPr>
        <w:tblStyle w:val="1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授权委托人</w:t>
            </w:r>
            <w:r>
              <w:rPr>
                <w:rFonts w:hint="eastAsia" w:ascii="仿宋_GB2312" w:hAnsi="仿宋_GB2312" w:eastAsia="仿宋_GB2312" w:cs="仿宋_GB2312"/>
                <w:color w:val="auto"/>
                <w:szCs w:val="21"/>
                <w:highlight w:val="none"/>
              </w:rPr>
              <w:t>身份证正、反面复印件※）</w:t>
            </w:r>
          </w:p>
        </w:tc>
      </w:tr>
    </w:tbl>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注：身份证复印件如为粘贴的，须在身份证复印件与本页接缝处加盖公章。</w:t>
      </w:r>
    </w:p>
    <w:p>
      <w:pPr>
        <w:spacing w:line="360" w:lineRule="auto"/>
        <w:rPr>
          <w:rFonts w:ascii="仿宋_GB2312" w:hAnsi="仿宋_GB2312" w:eastAsia="仿宋_GB2312" w:cs="仿宋_GB2312"/>
          <w:color w:val="auto"/>
          <w:szCs w:val="21"/>
          <w:highlight w:val="none"/>
        </w:rPr>
      </w:pP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投标人（加盖单位公章）：</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法定代表人（签字）：</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委托代理人</w:t>
      </w:r>
      <w:r>
        <w:rPr>
          <w:rFonts w:hint="eastAsia" w:ascii="仿宋_GB2312" w:hAnsi="仿宋_GB2312" w:eastAsia="仿宋_GB2312" w:cs="仿宋_GB2312"/>
          <w:color w:val="auto"/>
          <w:szCs w:val="21"/>
          <w:highlight w:val="none"/>
        </w:rPr>
        <w:t xml:space="preserve">（签字）：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pStyle w:val="20"/>
        <w:ind w:firstLine="0"/>
        <w:rPr>
          <w:rFonts w:ascii="仿宋_GB2312" w:hAnsi="仿宋_GB2312" w:eastAsia="仿宋_GB2312" w:cs="仿宋_GB2312"/>
          <w:color w:val="auto"/>
          <w:spacing w:val="0"/>
          <w:kern w:val="2"/>
          <w:sz w:val="21"/>
          <w:highlight w:val="none"/>
          <w:u w:val="single"/>
        </w:rPr>
      </w:pPr>
      <w:r>
        <w:rPr>
          <w:rFonts w:hint="eastAsia" w:ascii="仿宋_GB2312" w:hAnsi="仿宋_GB2312" w:eastAsia="仿宋_GB2312" w:cs="仿宋_GB2312"/>
          <w:color w:val="auto"/>
          <w:spacing w:val="0"/>
          <w:kern w:val="2"/>
          <w:sz w:val="21"/>
          <w:highlight w:val="none"/>
        </w:rPr>
        <w:t>身份证号码：</w:t>
      </w:r>
      <w:r>
        <w:rPr>
          <w:rFonts w:hint="eastAsia" w:ascii="仿宋_GB2312" w:hAnsi="仿宋_GB2312" w:eastAsia="仿宋_GB2312" w:cs="仿宋_GB2312"/>
          <w:color w:val="auto"/>
          <w:spacing w:val="0"/>
          <w:kern w:val="2"/>
          <w:sz w:val="21"/>
          <w:highlight w:val="none"/>
          <w:u w:val="single"/>
        </w:rPr>
        <w:t xml:space="preserve">                </w:t>
      </w:r>
    </w:p>
    <w:p>
      <w:pPr>
        <w:spacing w:line="360" w:lineRule="auto"/>
        <w:rPr>
          <w:rFonts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spacing w:line="360" w:lineRule="auto"/>
        <w:rPr>
          <w:rFonts w:ascii="仿宋_GB2312" w:hAnsi="仿宋_GB2312" w:eastAsia="仿宋_GB2312" w:cs="仿宋_GB2312"/>
          <w:color w:val="auto"/>
          <w:szCs w:val="21"/>
          <w:highlight w:val="none"/>
        </w:rPr>
      </w:pP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1.以联合体形式响应的，本授权委托书由联合体牵头人的法定代表人按上述规定签署。</w:t>
      </w:r>
    </w:p>
    <w:p>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2.如果由投标人的法定代表人签署投标文件，则不需要提交授权委托书。</w:t>
      </w:r>
      <w:r>
        <w:rPr>
          <w:rFonts w:hint="eastAsia" w:ascii="仿宋_GB2312" w:hAnsi="仿宋_GB2312" w:eastAsia="仿宋_GB2312" w:cs="仿宋_GB2312"/>
          <w:color w:val="auto"/>
          <w:szCs w:val="21"/>
          <w:highlight w:val="none"/>
        </w:rPr>
        <w:br w:type="page"/>
      </w:r>
    </w:p>
    <w:p>
      <w:pPr>
        <w:spacing w:before="319" w:beforeLines="100" w:after="319" w:afterLines="100" w:line="360" w:lineRule="auto"/>
        <w:ind w:right="-21" w:rightChars="-1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b/>
          <w:bCs/>
          <w:color w:val="auto"/>
          <w:szCs w:val="21"/>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注：</w:t>
      </w:r>
      <w:r>
        <w:rPr>
          <w:rFonts w:hint="eastAsia" w:ascii="仿宋_GB2312" w:hAnsi="仿宋_GB2312" w:eastAsia="仿宋_GB2312" w:cs="仿宋_GB2312"/>
          <w:color w:val="auto"/>
          <w:szCs w:val="21"/>
          <w:highlight w:val="none"/>
        </w:rPr>
        <w:t>承诺函后须附附表《202X年财务状况表》及附件。</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p>
    <w:p>
      <w:pPr>
        <w:snapToGrid w:val="0"/>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日期：</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highlight w:val="none"/>
          <w:u w:val="singl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color w:val="auto"/>
          <w:highlight w:val="none"/>
        </w:rPr>
      </w:pPr>
    </w:p>
    <w:p>
      <w:pPr>
        <w:pStyle w:val="20"/>
        <w:rPr>
          <w:color w:val="auto"/>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pStyle w:val="13"/>
        <w:ind w:firstLine="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附表：</w:t>
      </w:r>
    </w:p>
    <w:p>
      <w:pPr>
        <w:widowControl/>
        <w:autoSpaceDE w:val="0"/>
        <w:autoSpaceDN w:val="0"/>
        <w:spacing w:line="400" w:lineRule="atLeast"/>
        <w:ind w:left="180"/>
        <w:jc w:val="center"/>
        <w:textAlignment w:val="bottom"/>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202X年财务状况表</w:t>
      </w:r>
    </w:p>
    <w:p>
      <w:pPr>
        <w:spacing w:line="400" w:lineRule="atLeast"/>
        <w:jc w:val="center"/>
        <w:rPr>
          <w:rFonts w:ascii="仿宋_GB2312" w:hAnsi="仿宋_GB2312" w:eastAsia="仿宋_GB2312" w:cs="仿宋_GB2312"/>
          <w:color w:val="auto"/>
          <w:szCs w:val="21"/>
          <w:highlight w:val="none"/>
        </w:rPr>
      </w:pPr>
    </w:p>
    <w:tbl>
      <w:tblPr>
        <w:tblStyle w:val="14"/>
        <w:tblW w:w="0" w:type="auto"/>
        <w:tblInd w:w="0" w:type="dxa"/>
        <w:tblLayout w:type="fixed"/>
        <w:tblCellMar>
          <w:top w:w="0" w:type="dxa"/>
          <w:left w:w="28" w:type="dxa"/>
          <w:bottom w:w="0" w:type="dxa"/>
          <w:right w:w="28" w:type="dxa"/>
        </w:tblCellMar>
      </w:tblPr>
      <w:tblGrid>
        <w:gridCol w:w="4468"/>
        <w:gridCol w:w="1459"/>
        <w:gridCol w:w="1329"/>
      </w:tblGrid>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项目或指标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u w:val="single"/>
              </w:rPr>
              <w:t xml:space="preserve"> 202X </w:t>
            </w:r>
            <w:r>
              <w:rPr>
                <w:rFonts w:hint="eastAsia" w:ascii="仿宋_GB2312" w:hAnsi="仿宋_GB2312" w:eastAsia="仿宋_GB2312" w:cs="仿宋_GB2312"/>
                <w:color w:val="auto"/>
                <w:szCs w:val="21"/>
                <w:highlight w:val="none"/>
              </w:rPr>
              <w:t>年</w:t>
            </w: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 、 注册资本</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 净资产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 总资产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spacing w:line="400" w:lineRule="atLeast"/>
              <w:ind w:firstLine="13"/>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四、 固定资产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 流动资产</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六、 流动负债</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七、 负债合计</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八、 营业收入</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九、 净利润</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firstLine="13"/>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十、 现金流量净额</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840" w:hanging="714"/>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十一、 主要财务指标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净资产收益率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 总资产报酬率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 主营业务利润率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资产负债率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 流动比率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73" w:leftChars="35" w:firstLine="850" w:firstLineChars="405"/>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 速动比率</w:t>
            </w:r>
          </w:p>
        </w:tc>
        <w:tc>
          <w:tcPr>
            <w:tcW w:w="1459"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firstLine="13"/>
              <w:jc w:val="center"/>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329" w:type="dxa"/>
            <w:tcBorders>
              <w:top w:val="single" w:color="auto" w:sz="6" w:space="0"/>
              <w:left w:val="single" w:color="auto" w:sz="4" w:space="0"/>
              <w:bottom w:val="single" w:color="auto" w:sz="6" w:space="0"/>
              <w:right w:val="single" w:color="auto" w:sz="6" w:space="0"/>
            </w:tcBorders>
          </w:tcPr>
          <w:p>
            <w:pPr>
              <w:widowControl/>
              <w:autoSpaceDE w:val="0"/>
              <w:autoSpaceDN w:val="0"/>
              <w:spacing w:line="400" w:lineRule="atLeast"/>
              <w:ind w:firstLine="13"/>
              <w:jc w:val="right"/>
              <w:textAlignment w:val="bottom"/>
              <w:rPr>
                <w:rFonts w:ascii="仿宋_GB2312" w:hAnsi="仿宋_GB2312" w:eastAsia="仿宋_GB2312" w:cs="仿宋_GB2312"/>
                <w:color w:val="auto"/>
                <w:szCs w:val="21"/>
                <w:highlight w:val="none"/>
              </w:rPr>
            </w:pPr>
          </w:p>
        </w:tc>
      </w:tr>
    </w:tbl>
    <w:p>
      <w:pPr>
        <w:numPr>
          <w:ilvl w:val="0"/>
          <w:numId w:val="6"/>
        </w:numPr>
        <w:spacing w:line="400" w:lineRule="atLeas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本表后须附202X年度经审计的财务报告，包括“审计报告正文，资产负债表、利润表、现金流量表、所有者权益变动表”；</w:t>
      </w:r>
    </w:p>
    <w:p>
      <w:pPr>
        <w:numPr>
          <w:ilvl w:val="0"/>
          <w:numId w:val="6"/>
        </w:numPr>
        <w:spacing w:line="400" w:lineRule="atLeas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本表所列数据必须与本表各附件中的数据相一致；</w:t>
      </w:r>
    </w:p>
    <w:p>
      <w:pPr>
        <w:numPr>
          <w:ilvl w:val="0"/>
          <w:numId w:val="6"/>
        </w:numPr>
        <w:spacing w:line="400" w:lineRule="atLeas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Cs w:val="21"/>
          <w:highlight w:val="none"/>
        </w:rPr>
        <w:t>以联合体形式参与询价的，联合体各成员应分别填写。</w:t>
      </w: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p>
    <w:p>
      <w:pPr>
        <w:pStyle w:val="28"/>
        <w:wordWrap w:val="0"/>
        <w:topLinePunct/>
        <w:spacing w:before="0"/>
        <w:outlineLvl w:val="9"/>
        <w:rPr>
          <w:rFonts w:ascii="仿宋_GB2312" w:hAnsi="仿宋_GB2312" w:eastAsia="仿宋_GB2312" w:cs="仿宋_GB2312"/>
          <w:b w:val="0"/>
          <w:bCs/>
          <w:color w:val="auto"/>
          <w:sz w:val="21"/>
          <w:szCs w:val="21"/>
          <w:highlight w:val="none"/>
        </w:rPr>
      </w:pPr>
    </w:p>
    <w:p>
      <w:pPr>
        <w:pStyle w:val="28"/>
        <w:wordWrap w:val="0"/>
        <w:topLinePunct/>
        <w:spacing w:before="0"/>
        <w:outlineLvl w:val="9"/>
        <w:rPr>
          <w:rFonts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注：承诺函后须附附表《拟委任的项目技术人员汇总表》及附件。</w:t>
      </w: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p>
    <w:p>
      <w:pPr>
        <w:spacing w:line="360" w:lineRule="auto"/>
        <w:rPr>
          <w:rFonts w:ascii="仿宋_GB2312" w:hAnsi="仿宋_GB2312" w:eastAsia="仿宋_GB2312" w:cs="仿宋_GB2312"/>
          <w:color w:val="auto"/>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w:t>
      </w:r>
      <w:r>
        <w:rPr>
          <w:rFonts w:hint="eastAsia" w:ascii="仿宋_GB2312" w:hAnsi="仿宋_GB2312" w:eastAsia="仿宋_GB2312" w:cs="仿宋_GB2312"/>
          <w:color w:val="auto"/>
          <w:highlight w:val="none"/>
          <w:u w:val="single"/>
        </w:rPr>
        <w:t>(签字或盖章)</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p>
    <w:p>
      <w:pPr>
        <w:pStyle w:val="13"/>
        <w:rPr>
          <w:rFonts w:ascii="仿宋_GB2312" w:hAnsi="仿宋_GB2312" w:eastAsia="仿宋_GB2312" w:cs="仿宋_GB2312"/>
          <w:b/>
          <w:color w:val="auto"/>
          <w:sz w:val="28"/>
          <w:szCs w:val="28"/>
          <w:highlight w:val="none"/>
        </w:rPr>
      </w:pPr>
    </w:p>
    <w:p>
      <w:pPr>
        <w:rPr>
          <w:color w:val="auto"/>
          <w:highlight w:val="none"/>
        </w:rPr>
      </w:pP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p>
    <w:p>
      <w:pPr>
        <w:pStyle w:val="20"/>
        <w:rPr>
          <w:color w:val="auto"/>
          <w:highlight w:val="none"/>
        </w:rPr>
      </w:pP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p>
    <w:p>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br w:type="page"/>
      </w:r>
    </w:p>
    <w:p>
      <w:pPr>
        <w:pStyle w:val="13"/>
        <w:ind w:firstLine="0"/>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附表</w:t>
      </w:r>
    </w:p>
    <w:p>
      <w:pPr>
        <w:pStyle w:val="28"/>
        <w:wordWrap w:val="0"/>
        <w:topLinePunct/>
        <w:spacing w:before="0"/>
        <w:jc w:val="center"/>
        <w:outlineLvl w:val="9"/>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拟委任的项目技术人员汇总表</w:t>
      </w:r>
    </w:p>
    <w:p>
      <w:pPr>
        <w:wordWrap w:val="0"/>
        <w:topLinePunct/>
        <w:spacing w:line="300" w:lineRule="exact"/>
        <w:jc w:val="center"/>
        <w:rPr>
          <w:rFonts w:ascii="仿宋_GB2312" w:hAnsi="仿宋_GB2312" w:eastAsia="仿宋_GB2312" w:cs="仿宋_GB2312"/>
          <w:color w:val="auto"/>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p>
        </w:tc>
        <w:tc>
          <w:tcPr>
            <w:tcW w:w="772"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年龄</w:t>
            </w:r>
          </w:p>
        </w:tc>
        <w:tc>
          <w:tcPr>
            <w:tcW w:w="1342"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拟在本项目中担任的职务</w:t>
            </w:r>
          </w:p>
        </w:tc>
        <w:tc>
          <w:tcPr>
            <w:tcW w:w="1084"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技术职称</w:t>
            </w:r>
          </w:p>
        </w:tc>
        <w:tc>
          <w:tcPr>
            <w:tcW w:w="1372"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资格证书类别及注册号</w:t>
            </w:r>
          </w:p>
        </w:tc>
        <w:tc>
          <w:tcPr>
            <w:tcW w:w="1587"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累计对应岗位的工作年限（年）</w:t>
            </w:r>
          </w:p>
        </w:tc>
        <w:tc>
          <w:tcPr>
            <w:tcW w:w="1037" w:type="dxa"/>
            <w:vAlign w:val="center"/>
          </w:tcPr>
          <w:p>
            <w:pPr>
              <w:snapToGrid w:val="0"/>
              <w:spacing w:line="240" w:lineRule="atLeas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7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4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84"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372"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58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c>
          <w:tcPr>
            <w:tcW w:w="1037" w:type="dxa"/>
            <w:vAlign w:val="center"/>
          </w:tcPr>
          <w:p>
            <w:pPr>
              <w:topLinePunct/>
              <w:snapToGrid w:val="0"/>
              <w:spacing w:line="240" w:lineRule="atLeast"/>
              <w:jc w:val="center"/>
              <w:rPr>
                <w:rFonts w:ascii="仿宋_GB2312" w:hAnsi="仿宋_GB2312" w:eastAsia="仿宋_GB2312" w:cs="仿宋_GB2312"/>
                <w:color w:val="auto"/>
                <w:szCs w:val="21"/>
                <w:highlight w:val="none"/>
              </w:rPr>
            </w:pPr>
          </w:p>
        </w:tc>
      </w:tr>
    </w:tbl>
    <w:p>
      <w:pPr>
        <w:spacing w:before="319" w:beforeLines="100" w:after="319" w:afterLines="100" w:line="480" w:lineRule="exact"/>
        <w:ind w:right="630" w:rightChars="300"/>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本表后须附上述人员的身份证、职称证、资格证复印件</w:t>
      </w:r>
      <w:r>
        <w:rPr>
          <w:rFonts w:hint="eastAsia" w:ascii="仿宋_GB2312" w:hAnsi="仿宋_GB2312" w:eastAsia="仿宋_GB2312" w:cs="仿宋_GB2312"/>
          <w:color w:val="auto"/>
          <w:szCs w:val="21"/>
          <w:highlight w:val="none"/>
          <w:lang w:val="en-US" w:eastAsia="zh-CN"/>
        </w:rPr>
        <w:t>及评审要求中要求提供的其他证明文件</w:t>
      </w:r>
      <w:r>
        <w:rPr>
          <w:rFonts w:hint="eastAsia" w:ascii="仿宋_GB2312" w:hAnsi="仿宋_GB2312" w:eastAsia="仿宋_GB2312" w:cs="仿宋_GB2312"/>
          <w:color w:val="auto"/>
          <w:szCs w:val="21"/>
          <w:highlight w:val="none"/>
        </w:rPr>
        <w:t>。</w:t>
      </w:r>
    </w:p>
    <w:p>
      <w:pPr>
        <w:spacing w:before="319" w:beforeLines="100" w:after="319" w:afterLines="100" w:line="480" w:lineRule="exact"/>
        <w:ind w:right="630" w:rightChars="300"/>
        <w:rPr>
          <w:rFonts w:ascii="仿宋_GB2312" w:hAnsi="仿宋_GB2312" w:eastAsia="仿宋_GB2312" w:cs="仿宋_GB2312"/>
          <w:b/>
          <w:color w:val="auto"/>
          <w:szCs w:val="21"/>
          <w:highlight w:val="none"/>
        </w:rPr>
      </w:pPr>
    </w:p>
    <w:p>
      <w:pPr>
        <w:spacing w:before="319" w:beforeLines="100" w:after="319" w:afterLines="100" w:line="480" w:lineRule="exact"/>
        <w:ind w:right="630" w:rightChars="3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参加招标活动前3年内在经营活动中没有重大违法记录的书面声明</w:t>
      </w:r>
    </w:p>
    <w:p>
      <w:pPr>
        <w:spacing w:line="360" w:lineRule="auto"/>
        <w:ind w:right="630" w:rightChars="300"/>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u w:val="single"/>
        </w:rPr>
        <w:t xml:space="preserve">（招标人名称） </w:t>
      </w:r>
      <w:r>
        <w:rPr>
          <w:rFonts w:hint="eastAsia" w:ascii="仿宋_GB2312" w:hAnsi="仿宋_GB2312" w:eastAsia="仿宋_GB2312" w:cs="仿宋_GB2312"/>
          <w:b/>
          <w:color w:val="auto"/>
          <w:szCs w:val="21"/>
          <w:highlight w:val="none"/>
        </w:rPr>
        <w:t xml:space="preserve"> ：</w:t>
      </w:r>
    </w:p>
    <w:p>
      <w:pPr>
        <w:spacing w:line="360" w:lineRule="auto"/>
        <w:ind w:right="-21" w:rightChars="-10" w:firstLine="493" w:firstLineChars="235"/>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本项目提交投标文件截止时间前，我单位参加本次招标活动前3年内在经营活动中没有因违法经营受到刑事处罚或者责令停产停业、吊销许可证或者执照、较大数额罚款等行政处罚的重大违法记录；通过国家企业信用信息公示系统（网站：</w:t>
      </w:r>
      <w:r>
        <w:rPr>
          <w:rFonts w:hint="eastAsia" w:ascii="仿宋" w:hAnsi="仿宋" w:eastAsia="仿宋" w:cs="仿宋"/>
          <w:color w:val="auto"/>
          <w:szCs w:val="21"/>
          <w:highlight w:val="none"/>
        </w:rPr>
        <w:t>http://www.gsxt.gov.cn/</w:t>
      </w:r>
      <w:r>
        <w:rPr>
          <w:rFonts w:hint="eastAsia" w:ascii="仿宋_GB2312" w:hAnsi="仿宋_GB2312" w:eastAsia="仿宋_GB2312" w:cs="仿宋_GB2312"/>
          <w:color w:val="auto"/>
          <w:szCs w:val="21"/>
          <w:highlight w:val="none"/>
        </w:rPr>
        <w:t>）、“信用中国”(网站：www.creditchina.gov.cn/)等渠道查询，我单位未被列入严重违法失信企业名单、失信被执行人名单。</w:t>
      </w:r>
    </w:p>
    <w:p>
      <w:pPr>
        <w:tabs>
          <w:tab w:val="left" w:pos="10065"/>
        </w:tabs>
        <w:spacing w:line="360" w:lineRule="auto"/>
        <w:ind w:right="-21" w:rightChars="-10" w:firstLine="371" w:firstLineChars="177"/>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如发现我单位提供的声明函不实时，我单位将按照有关提供虚假材料的规定，接受处罚。</w:t>
      </w:r>
    </w:p>
    <w:p>
      <w:pPr>
        <w:spacing w:line="360" w:lineRule="auto"/>
        <w:ind w:right="1050" w:rightChars="500"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特此声明。</w:t>
      </w:r>
    </w:p>
    <w:p>
      <w:pPr>
        <w:tabs>
          <w:tab w:val="left" w:pos="10065"/>
        </w:tabs>
        <w:spacing w:line="360" w:lineRule="auto"/>
        <w:ind w:right="-21" w:rightChars="-10" w:firstLine="371" w:firstLineChars="177"/>
        <w:rPr>
          <w:rFonts w:ascii="仿宋_GB2312" w:hAnsi="仿宋_GB2312" w:eastAsia="仿宋_GB2312" w:cs="仿宋_GB2312"/>
          <w:color w:val="auto"/>
          <w:szCs w:val="21"/>
          <w:highlight w:val="none"/>
        </w:rPr>
      </w:pPr>
    </w:p>
    <w:p>
      <w:pPr>
        <w:tabs>
          <w:tab w:val="left" w:pos="10065"/>
        </w:tabs>
        <w:spacing w:line="360" w:lineRule="auto"/>
        <w:ind w:right="-21" w:rightChars="-10" w:firstLine="371" w:firstLineChars="177"/>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附件：投标人在国家企业信用信息公示系统中未被列入严重违法失信企业名单、在“信用中国”网站中未被列入失信被执行人名单的网页截图复印件。</w:t>
      </w:r>
    </w:p>
    <w:p>
      <w:pPr>
        <w:spacing w:before="159" w:beforeLines="50" w:after="159" w:afterLines="50" w:line="400" w:lineRule="exact"/>
        <w:ind w:right="1050" w:rightChars="500" w:firstLine="420" w:firstLineChars="200"/>
        <w:rPr>
          <w:rFonts w:ascii="仿宋_GB2312" w:hAnsi="仿宋_GB2312" w:eastAsia="仿宋_GB2312" w:cs="仿宋_GB2312"/>
          <w:color w:val="auto"/>
          <w:szCs w:val="21"/>
          <w:highlight w:val="none"/>
        </w:rPr>
      </w:pPr>
    </w:p>
    <w:p>
      <w:pPr>
        <w:spacing w:line="360" w:lineRule="exact"/>
        <w:ind w:left="1050" w:leftChars="500" w:right="1050" w:rightChars="500" w:firstLine="420" w:firstLineChars="200"/>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投标人关联单位说明</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（1）与投标人单位法定代表人为同一人的其他单位；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（2）与投标人存在直接控股、管理关系的其他单位。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p>
    <w:p>
      <w:pPr>
        <w:adjustRightInd w:val="0"/>
        <w:snapToGrid w:val="0"/>
        <w:spacing w:line="36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反商业贿赂承诺书</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我公司承诺：</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在招标活动中，我公司保证做到：</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一、公平竞争参加本次招标活动。</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杜绝任何形式的商业贿赂行为。不向招标人工作人员、评审专家及其亲属提供礼品礼金、有价证券、购物券、回扣、佣金、咨询费、劳务费、赞助费、宣传费、宴请；不为其报销各种消费凭证，不支付其旅游、娱乐等费用。</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三、若出现上述行为，我公司及参与询价的工作人员愿意接受按照国家法律法规等有关规定给予的处罚。</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投标人名称（加盖单位公章）：</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highlight w:val="none"/>
        </w:rPr>
        <w:t>其授权委托人(签字或盖章)：</w:t>
      </w:r>
      <w:r>
        <w:rPr>
          <w:rFonts w:hint="eastAsia" w:ascii="仿宋_GB2312" w:hAnsi="仿宋_GB2312" w:eastAsia="仿宋_GB2312" w:cs="仿宋_GB2312"/>
          <w:color w:val="auto"/>
          <w:highlight w:val="none"/>
          <w:u w:val="single"/>
        </w:rPr>
        <w:t xml:space="preserve">           </w:t>
      </w:r>
    </w:p>
    <w:p>
      <w:pPr>
        <w:spacing w:line="48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日期： </w:t>
      </w:r>
      <w:r>
        <w:rPr>
          <w:rFonts w:hint="eastAsia" w:ascii="仿宋_GB2312" w:hAnsi="仿宋_GB2312" w:eastAsia="仿宋_GB2312" w:cs="仿宋_GB2312"/>
          <w:color w:val="auto"/>
          <w:highlight w:val="none"/>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类似项目业绩一览表</w:t>
      </w:r>
    </w:p>
    <w:p>
      <w:pPr>
        <w:rPr>
          <w:rFonts w:ascii="仿宋_GB2312" w:hAnsi="仿宋_GB2312" w:eastAsia="仿宋_GB2312" w:cs="仿宋_GB2312"/>
          <w:color w:val="auto"/>
          <w:szCs w:val="21"/>
          <w:highlight w:val="none"/>
        </w:rPr>
      </w:pPr>
    </w:p>
    <w:tbl>
      <w:tblPr>
        <w:tblStyle w:val="14"/>
        <w:tblW w:w="91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2004"/>
        <w:gridCol w:w="1854"/>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序号</w:t>
            </w:r>
          </w:p>
        </w:tc>
        <w:tc>
          <w:tcPr>
            <w:tcW w:w="2004" w:type="dxa"/>
            <w:tcBorders>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项目名称</w:t>
            </w:r>
          </w:p>
        </w:tc>
        <w:tc>
          <w:tcPr>
            <w:tcW w:w="1854" w:type="dxa"/>
            <w:tcBorders>
              <w:lef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合同名称</w:t>
            </w:r>
          </w:p>
        </w:tc>
        <w:tc>
          <w:tcPr>
            <w:tcW w:w="1144" w:type="dxa"/>
            <w:tcBorders>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合同金额</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合同签订日期</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验收日期</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200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200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54"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pStyle w:val="6"/>
        <w:spacing w:line="24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注：本表填列投标人在2018年1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月1日后经验收合格的同类或类似业绩（同类或类似业绩是指土地报批项目 ）。</w:t>
      </w: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pStyle w:val="7"/>
        <w:rPr>
          <w:color w:val="auto"/>
          <w:highlight w:val="none"/>
        </w:rPr>
      </w:pP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pPr>
        <w:jc w:val="center"/>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类似项目情况表</w:t>
      </w:r>
    </w:p>
    <w:p>
      <w:pPr>
        <w:pStyle w:val="20"/>
        <w:rPr>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项目名称</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项目所在地</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发包人名称</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合同金额</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合同签订日期</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交工日期</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承担的工作内容</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验收质量评分或等级</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项目负责人</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项目技术负责人</w:t>
            </w:r>
          </w:p>
        </w:tc>
        <w:tc>
          <w:tcPr>
            <w:tcW w:w="6402" w:type="dxa"/>
          </w:tcPr>
          <w:p>
            <w:pP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14" w:type="dxa"/>
            <w:vAlign w:val="center"/>
          </w:tcPr>
          <w:p>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备注</w:t>
            </w:r>
          </w:p>
        </w:tc>
        <w:tc>
          <w:tcPr>
            <w:tcW w:w="6402" w:type="dxa"/>
          </w:tcPr>
          <w:p>
            <w:pPr>
              <w:rPr>
                <w:rFonts w:ascii="仿宋_GB2312" w:hAnsi="仿宋_GB2312" w:eastAsia="仿宋_GB2312" w:cs="仿宋_GB2312"/>
                <w:color w:val="auto"/>
                <w:szCs w:val="21"/>
                <w:highlight w:val="none"/>
              </w:rPr>
            </w:pPr>
          </w:p>
        </w:tc>
      </w:tr>
    </w:tbl>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注：1.每张表格只填写一个项目，并标明序号；</w:t>
      </w:r>
    </w:p>
    <w:p>
      <w:pPr>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本表后附该业绩中标通知书（如有）、合同协议书、验收或质量鉴定资料复印或扫描件；如投标人提供的上述资料无法证实投标人满足招标文件规定的资格审查条件（如有）或评审办法评分标准（如有）的，投标人可补充提供主管部门或项目业主出具的证明材料。</w:t>
      </w:r>
    </w:p>
    <w:p>
      <w:p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3.如近年来，投标人法人机构发生合法变更或重组或法人名称变更的，应提供相关部门的合法批件或其他相关证明材料来证明其所附业绩的继承性；</w:t>
      </w:r>
    </w:p>
    <w:p>
      <w:pPr>
        <w:ind w:firstLine="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4.以联合体投标的，联合体各成员应分别填写。</w:t>
      </w:r>
      <w:r>
        <w:rPr>
          <w:rFonts w:hint="eastAsia" w:ascii="仿宋_GB2312" w:hAnsi="仿宋_GB2312" w:eastAsia="仿宋_GB2312" w:cs="仿宋_GB2312"/>
          <w:color w:val="auto"/>
          <w:szCs w:val="21"/>
          <w:highlight w:val="none"/>
        </w:rPr>
        <w:br w:type="page"/>
      </w:r>
    </w:p>
    <w:p>
      <w:pPr>
        <w:rPr>
          <w:rFonts w:ascii="仿宋_GB2312" w:hAnsi="仿宋_GB2312" w:eastAsia="仿宋_GB2312" w:cs="仿宋_GB2312"/>
          <w:color w:val="auto"/>
          <w:szCs w:val="21"/>
          <w:highlight w:val="none"/>
        </w:rPr>
      </w:pPr>
    </w:p>
    <w:p>
      <w:pPr>
        <w:jc w:val="center"/>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实施方案</w:t>
      </w:r>
    </w:p>
    <w:p>
      <w:pP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 xml:space="preserve">  投标人应按以下要点编制实施方案，契合项目实际，突出重点，抓住关键。</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具体内容请按照评审要求进行编制。</w:t>
      </w:r>
      <w:r>
        <w:rPr>
          <w:rFonts w:hint="eastAsia" w:ascii="仿宋_GB2312" w:hAnsi="仿宋_GB2312" w:eastAsia="仿宋_GB2312" w:cs="仿宋_GB2312"/>
          <w:color w:val="auto"/>
          <w:szCs w:val="21"/>
          <w:highlight w:val="none"/>
          <w:lang w:eastAsia="zh-CN"/>
        </w:rPr>
        <w:t>）</w:t>
      </w:r>
    </w:p>
    <w:p>
      <w:pPr>
        <w:rPr>
          <w:rFonts w:ascii="仿宋_GB2312" w:hAnsi="仿宋_GB2312" w:eastAsia="仿宋_GB2312" w:cs="仿宋_GB2312"/>
          <w:color w:val="auto"/>
          <w:szCs w:val="21"/>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Cs w:val="21"/>
          <w:highlight w:val="none"/>
        </w:rPr>
        <w:t>1.XXXX</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rPr>
        <w:br w:type="page"/>
      </w:r>
    </w:p>
    <w:p>
      <w:pPr>
        <w:jc w:val="center"/>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技术商务偏离表</w:t>
      </w:r>
    </w:p>
    <w:p>
      <w:p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  投标人应按招标人需求部分、合同部分自行编制</w:t>
      </w:r>
    </w:p>
    <w:p>
      <w:pPr>
        <w:rPr>
          <w:rFonts w:hint="eastAsia" w:ascii="仿宋_GB2312" w:hAnsi="仿宋_GB2312" w:eastAsia="仿宋_GB2312" w:cs="仿宋_GB2312"/>
          <w:color w:val="auto"/>
          <w:szCs w:val="21"/>
          <w:highlight w:val="none"/>
          <w:lang w:val="en-US" w:eastAsia="zh-CN"/>
        </w:rPr>
      </w:pPr>
    </w:p>
    <w:tbl>
      <w:tblPr>
        <w:tblStyle w:val="1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114"/>
        <w:gridCol w:w="2456"/>
        <w:gridCol w:w="189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序号</w:t>
            </w:r>
          </w:p>
        </w:tc>
        <w:tc>
          <w:tcPr>
            <w:tcW w:w="211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招标文件要求</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投标文件响应情况</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偏离说明</w:t>
            </w:r>
          </w:p>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（无偏离/负偏离）</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114"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245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1896"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c>
          <w:tcPr>
            <w:tcW w:w="728" w:type="dxa"/>
            <w:noWrap w:val="0"/>
            <w:vAlign w:val="center"/>
          </w:tcPr>
          <w:p>
            <w:pPr>
              <w:topLinePunct/>
              <w:snapToGrid w:val="0"/>
              <w:spacing w:line="240" w:lineRule="atLeast"/>
              <w:jc w:val="center"/>
              <w:rPr>
                <w:rFonts w:hint="eastAsia" w:ascii="仿宋_GB2312" w:hAnsi="仿宋_GB2312" w:eastAsia="仿宋_GB2312" w:cs="仿宋_GB2312"/>
                <w:color w:val="auto"/>
                <w:sz w:val="21"/>
                <w:szCs w:val="21"/>
                <w:highlight w:val="none"/>
              </w:rPr>
            </w:pPr>
          </w:p>
        </w:tc>
      </w:tr>
    </w:tbl>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注：</w:t>
      </w:r>
      <w:r>
        <w:rPr>
          <w:rFonts w:hint="eastAsia" w:ascii="仿宋_GB2312" w:hAnsi="仿宋_GB2312" w:eastAsia="仿宋_GB2312" w:cs="仿宋_GB2312"/>
          <w:color w:val="auto"/>
          <w:szCs w:val="21"/>
          <w:highlight w:val="none"/>
          <w:lang w:val="en-US" w:eastAsia="zh-CN"/>
        </w:rPr>
        <w:t>本表可根据项目实际情况填写</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如提供空白的表格，则表示投标人对本项目技术商务部分完全响应。</w:t>
      </w:r>
    </w:p>
    <w:p>
      <w:pPr>
        <w:pStyle w:val="6"/>
        <w:spacing w:line="240" w:lineRule="auto"/>
        <w:rPr>
          <w:rFonts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rPr>
          <w:rFonts w:hint="eastAsia"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名称（加盖单位公章）：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p>
    <w:p>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p>
    <w:p>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p>
    <w:p>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p>
    <w:p>
      <w:pPr>
        <w:spacing w:before="319" w:beforeLines="100" w:after="319" w:afterLines="100" w:line="360" w:lineRule="auto"/>
        <w:jc w:val="center"/>
        <w:rPr>
          <w:rFonts w:hint="eastAsia" w:ascii="仿宋_GB2312" w:hAnsi="仿宋_GB2312" w:eastAsia="仿宋_GB2312" w:cs="仿宋_GB2312"/>
          <w:b/>
          <w:bCs/>
          <w:color w:val="auto"/>
          <w:sz w:val="32"/>
          <w:szCs w:val="32"/>
          <w:highlight w:val="none"/>
        </w:rPr>
      </w:pPr>
    </w:p>
    <w:p>
      <w:pPr>
        <w:spacing w:before="319" w:beforeLines="100" w:after="319"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投标文件评审索引表</w:t>
      </w:r>
    </w:p>
    <w:p>
      <w:pPr>
        <w:rPr>
          <w:rFonts w:ascii="仿宋_GB2312" w:hAnsi="仿宋_GB2312" w:eastAsia="仿宋_GB2312" w:cs="仿宋_GB2312"/>
          <w:color w:val="auto"/>
          <w:szCs w:val="21"/>
          <w:highlight w:val="none"/>
        </w:rPr>
      </w:pPr>
    </w:p>
    <w:tbl>
      <w:tblPr>
        <w:tblStyle w:val="14"/>
        <w:tblW w:w="80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3189"/>
        <w:gridCol w:w="1808"/>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57" w:type="dxa"/>
            <w:tcBorders>
              <w:top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序号</w:t>
            </w:r>
          </w:p>
        </w:tc>
        <w:tc>
          <w:tcPr>
            <w:tcW w:w="3189" w:type="dxa"/>
            <w:tcBorders>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评审因素</w:t>
            </w:r>
          </w:p>
        </w:tc>
        <w:tc>
          <w:tcPr>
            <w:tcW w:w="1808" w:type="dxa"/>
            <w:tcBorders>
              <w:lef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满足评审情况说明</w:t>
            </w:r>
          </w:p>
        </w:tc>
        <w:tc>
          <w:tcPr>
            <w:tcW w:w="1144" w:type="dxa"/>
            <w:tcBorders>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页码索引</w:t>
            </w:r>
          </w:p>
        </w:tc>
        <w:tc>
          <w:tcPr>
            <w:tcW w:w="1144" w:type="dxa"/>
            <w:tcBorders>
              <w:left w:val="single" w:color="auto" w:sz="4" w:space="0"/>
              <w:right w:val="single" w:color="auto" w:sz="4" w:space="0"/>
            </w:tcBorders>
            <w:vAlign w:val="center"/>
          </w:tcPr>
          <w:p>
            <w:pPr>
              <w:jc w:val="center"/>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3189"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ind w:firstLine="480"/>
              <w:rPr>
                <w:rFonts w:ascii="仿宋_GB2312" w:hAnsi="仿宋_GB2312" w:eastAsia="仿宋_GB2312" w:cs="仿宋_GB2312"/>
                <w:color w:val="auto"/>
                <w:szCs w:val="21"/>
                <w:highlight w:val="none"/>
              </w:rPr>
            </w:pPr>
          </w:p>
        </w:tc>
        <w:tc>
          <w:tcPr>
            <w:tcW w:w="3189"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808" w:type="dxa"/>
            <w:tcBorders>
              <w:lef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right w:val="single" w:color="auto" w:sz="4" w:space="0"/>
            </w:tcBorders>
            <w:vAlign w:val="center"/>
          </w:tcPr>
          <w:p>
            <w:pPr>
              <w:ind w:firstLine="480"/>
              <w:rPr>
                <w:rFonts w:ascii="仿宋_GB2312" w:hAnsi="仿宋_GB2312" w:eastAsia="仿宋_GB2312" w:cs="仿宋_GB2312"/>
                <w:color w:val="auto"/>
                <w:szCs w:val="21"/>
                <w:highlight w:val="none"/>
              </w:rPr>
            </w:pPr>
          </w:p>
        </w:tc>
        <w:tc>
          <w:tcPr>
            <w:tcW w:w="1144" w:type="dxa"/>
            <w:tcBorders>
              <w:left w:val="single" w:color="auto" w:sz="4" w:space="0"/>
              <w:right w:val="single" w:color="auto" w:sz="4" w:space="0"/>
            </w:tcBorders>
            <w:vAlign w:val="center"/>
          </w:tcPr>
          <w:p>
            <w:pPr>
              <w:ind w:firstLine="480"/>
              <w:rPr>
                <w:rFonts w:ascii="仿宋_GB2312" w:hAnsi="仿宋_GB2312" w:eastAsia="仿宋_GB2312" w:cs="仿宋_GB2312"/>
                <w:color w:val="auto"/>
                <w:szCs w:val="21"/>
                <w:highlight w:val="none"/>
              </w:rPr>
            </w:pPr>
          </w:p>
        </w:tc>
      </w:tr>
    </w:tbl>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pStyle w:val="6"/>
        <w:spacing w:line="240" w:lineRule="auto"/>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color w:val="auto"/>
          <w:szCs w:val="21"/>
          <w:highlight w:val="none"/>
        </w:rPr>
      </w:pP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投标人名称（加盖单位公章）：</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rPr>
        <w:t xml:space="preserve">               </w:t>
      </w:r>
    </w:p>
    <w:p>
      <w:pPr>
        <w:pStyle w:val="20"/>
        <w:ind w:firstLine="0"/>
        <w:rPr>
          <w:color w:val="auto"/>
          <w:highlight w:val="none"/>
        </w:rPr>
      </w:pPr>
    </w:p>
    <w:p>
      <w:pPr>
        <w:rPr>
          <w:color w:val="auto"/>
          <w:highlight w:val="none"/>
        </w:rPr>
      </w:pPr>
    </w:p>
    <w:sectPr>
      <w:footerReference r:id="rId5" w:type="default"/>
      <w:footnotePr>
        <w:numRestart w:val="eachPage"/>
      </w:footnotePr>
      <w:pgSz w:w="11906" w:h="16838"/>
      <w:pgMar w:top="1440" w:right="17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panose1 w:val="02000000000000000000"/>
    <w:charset w:val="86"/>
    <w:family w:val="auto"/>
    <w:pitch w:val="default"/>
    <w:sig w:usb0="A00002BF" w:usb1="184F6CFA"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33</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2"/>
        <w:spacing w:line="360" w:lineRule="auto"/>
      </w:pPr>
      <w:r>
        <w:rPr>
          <w:rStyle w:val="19"/>
        </w:rPr>
        <w:footnoteRef/>
      </w:r>
      <w:r>
        <w:t xml:space="preserve"> </w:t>
      </w:r>
      <w:r>
        <w:rPr>
          <w:rFonts w:hint="eastAsia"/>
        </w:rPr>
        <w:t>单位负责人是指单位的法定代表人或者法律、行政法规规定代表单位行使职权的主要负责人。</w:t>
      </w:r>
    </w:p>
  </w:footnote>
  <w:footnote w:id="1">
    <w:p>
      <w:pPr>
        <w:pStyle w:val="12"/>
        <w:spacing w:line="360" w:lineRule="auto"/>
      </w:pPr>
      <w:r>
        <w:rPr>
          <w:rStyle w:val="19"/>
        </w:rPr>
        <w:footnoteRef/>
      </w:r>
      <w:r>
        <w:t xml:space="preserve"> </w:t>
      </w:r>
      <w:r>
        <w:rPr>
          <w:rFonts w:hint="eastAsia"/>
        </w:rPr>
        <w:t>控股是指：股份占股份有限公司股本总额50%以上的绝对控股、相对控股或协议控股。</w:t>
      </w:r>
    </w:p>
  </w:footnote>
  <w:footnote w:id="2">
    <w:p>
      <w:pPr>
        <w:pStyle w:val="12"/>
        <w:spacing w:line="360" w:lineRule="auto"/>
      </w:pPr>
      <w:r>
        <w:rPr>
          <w:rStyle w:val="19"/>
        </w:rPr>
        <w:footnoteRef/>
      </w:r>
      <w:r>
        <w:t xml:space="preserve"> </w:t>
      </w:r>
      <w:r>
        <w:rPr>
          <w:rFonts w:hint="eastAsia"/>
        </w:rPr>
        <w:t>管理关系是指不具有出资持股关系的其他单位之间存在的管理关系与被管理关系。</w:t>
      </w:r>
    </w:p>
  </w:footnote>
  <w:footnote w:id="3">
    <w:p>
      <w:pPr>
        <w:pStyle w:val="12"/>
      </w:pPr>
      <w:r>
        <w:rPr>
          <w:rStyle w:val="19"/>
        </w:rPr>
        <w:footnoteRef/>
      </w:r>
      <w:r>
        <w:t xml:space="preserve"> </w:t>
      </w:r>
      <w:r>
        <w:rPr>
          <w:rFonts w:hint="eastAsia"/>
        </w:rPr>
        <w:t>本章第16.1款要求在递交投标文件截止时间前递交纸质投标文件的，投标人中标后无需再次提交。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AD287"/>
    <w:multiLevelType w:val="singleLevel"/>
    <w:tmpl w:val="A19AD287"/>
    <w:lvl w:ilvl="0" w:tentative="0">
      <w:start w:val="1"/>
      <w:numFmt w:val="decimal"/>
      <w:suff w:val="nothing"/>
      <w:lvlText w:val="（%1）"/>
      <w:lvlJc w:val="left"/>
      <w:pPr>
        <w:ind w:left="210" w:firstLine="0"/>
      </w:pPr>
    </w:lvl>
  </w:abstractNum>
  <w:abstractNum w:abstractNumId="1">
    <w:nsid w:val="D7A59FC1"/>
    <w:multiLevelType w:val="singleLevel"/>
    <w:tmpl w:val="D7A59FC1"/>
    <w:lvl w:ilvl="0" w:tentative="0">
      <w:start w:val="3"/>
      <w:numFmt w:val="decimal"/>
      <w:suff w:val="nothing"/>
      <w:lvlText w:val="（%1）"/>
      <w:lvlJc w:val="left"/>
    </w:lvl>
  </w:abstractNum>
  <w:abstractNum w:abstractNumId="2">
    <w:nsid w:val="DFEFFF38"/>
    <w:multiLevelType w:val="singleLevel"/>
    <w:tmpl w:val="DFEFFF38"/>
    <w:lvl w:ilvl="0" w:tentative="0">
      <w:start w:val="6"/>
      <w:numFmt w:val="decimal"/>
      <w:suff w:val="nothing"/>
      <w:lvlText w:val="（%1）"/>
      <w:lvlJc w:val="left"/>
    </w:lvl>
  </w:abstractNum>
  <w:abstractNum w:abstractNumId="3">
    <w:nsid w:val="F647CFD7"/>
    <w:multiLevelType w:val="singleLevel"/>
    <w:tmpl w:val="F647CFD7"/>
    <w:lvl w:ilvl="0" w:tentative="0">
      <w:start w:val="1"/>
      <w:numFmt w:val="decimal"/>
      <w:lvlText w:val="%1."/>
      <w:lvlJc w:val="left"/>
      <w:pPr>
        <w:tabs>
          <w:tab w:val="left" w:pos="312"/>
        </w:tabs>
      </w:p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7D72619C"/>
    <w:multiLevelType w:val="multilevel"/>
    <w:tmpl w:val="7D72619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NjBjNzk0NWQ4MjIxZjU3ZGI1NWZkYjAwZTJhNTAifQ=="/>
  </w:docVars>
  <w:rsids>
    <w:rsidRoot w:val="59B17620"/>
    <w:rsid w:val="000C442C"/>
    <w:rsid w:val="00225D05"/>
    <w:rsid w:val="00383383"/>
    <w:rsid w:val="00400F6A"/>
    <w:rsid w:val="004B2B21"/>
    <w:rsid w:val="00587D44"/>
    <w:rsid w:val="005F0A87"/>
    <w:rsid w:val="00641E35"/>
    <w:rsid w:val="006B647D"/>
    <w:rsid w:val="00792486"/>
    <w:rsid w:val="009011A3"/>
    <w:rsid w:val="00AE3DA6"/>
    <w:rsid w:val="00B35AE3"/>
    <w:rsid w:val="00B66A21"/>
    <w:rsid w:val="00B9504E"/>
    <w:rsid w:val="0157162E"/>
    <w:rsid w:val="01705EE8"/>
    <w:rsid w:val="01CF4EBF"/>
    <w:rsid w:val="01EF6C32"/>
    <w:rsid w:val="02324FB9"/>
    <w:rsid w:val="0274245F"/>
    <w:rsid w:val="0314369E"/>
    <w:rsid w:val="03C44372"/>
    <w:rsid w:val="06BA7D75"/>
    <w:rsid w:val="06CC603E"/>
    <w:rsid w:val="07CA07CF"/>
    <w:rsid w:val="08940DDD"/>
    <w:rsid w:val="09905A49"/>
    <w:rsid w:val="09F75AC8"/>
    <w:rsid w:val="0A0824E3"/>
    <w:rsid w:val="0A2F5262"/>
    <w:rsid w:val="0AF22EF3"/>
    <w:rsid w:val="0BD40DA4"/>
    <w:rsid w:val="0D110C4F"/>
    <w:rsid w:val="0D3F756A"/>
    <w:rsid w:val="0DC61A39"/>
    <w:rsid w:val="0DCD2287"/>
    <w:rsid w:val="0EEA5BFB"/>
    <w:rsid w:val="0F7F6343"/>
    <w:rsid w:val="104650B3"/>
    <w:rsid w:val="10A65B52"/>
    <w:rsid w:val="117500F7"/>
    <w:rsid w:val="120B7413"/>
    <w:rsid w:val="13A4281C"/>
    <w:rsid w:val="15485429"/>
    <w:rsid w:val="15681628"/>
    <w:rsid w:val="164A7250"/>
    <w:rsid w:val="17712A16"/>
    <w:rsid w:val="17AC6222"/>
    <w:rsid w:val="17B80644"/>
    <w:rsid w:val="18FD38B8"/>
    <w:rsid w:val="1B860A5A"/>
    <w:rsid w:val="1BDE2525"/>
    <w:rsid w:val="1CC7132A"/>
    <w:rsid w:val="1CDF3CEF"/>
    <w:rsid w:val="1D992CC6"/>
    <w:rsid w:val="1DDE4B7D"/>
    <w:rsid w:val="1DE2466D"/>
    <w:rsid w:val="1E402378"/>
    <w:rsid w:val="1EA9518B"/>
    <w:rsid w:val="1F737547"/>
    <w:rsid w:val="1FA0658E"/>
    <w:rsid w:val="1FE20037"/>
    <w:rsid w:val="206F7D0E"/>
    <w:rsid w:val="20825C93"/>
    <w:rsid w:val="212136FE"/>
    <w:rsid w:val="219F63D1"/>
    <w:rsid w:val="21CD68B0"/>
    <w:rsid w:val="24084702"/>
    <w:rsid w:val="24C5156E"/>
    <w:rsid w:val="259C77F7"/>
    <w:rsid w:val="25F5515A"/>
    <w:rsid w:val="261A696E"/>
    <w:rsid w:val="261D1FBA"/>
    <w:rsid w:val="264A1001"/>
    <w:rsid w:val="27135897"/>
    <w:rsid w:val="273D0B66"/>
    <w:rsid w:val="29053906"/>
    <w:rsid w:val="2A9F5694"/>
    <w:rsid w:val="2ADB2B70"/>
    <w:rsid w:val="2B2B10ED"/>
    <w:rsid w:val="2C695E1E"/>
    <w:rsid w:val="2CA451E4"/>
    <w:rsid w:val="2DA74F8B"/>
    <w:rsid w:val="2E221B14"/>
    <w:rsid w:val="2E7F1A64"/>
    <w:rsid w:val="2F000DF7"/>
    <w:rsid w:val="2F127B15"/>
    <w:rsid w:val="2F917CA1"/>
    <w:rsid w:val="2F9735A6"/>
    <w:rsid w:val="30A12166"/>
    <w:rsid w:val="32081D71"/>
    <w:rsid w:val="32313075"/>
    <w:rsid w:val="325E7BE3"/>
    <w:rsid w:val="3273368E"/>
    <w:rsid w:val="32803FFD"/>
    <w:rsid w:val="339935C8"/>
    <w:rsid w:val="33DE4907"/>
    <w:rsid w:val="34301672"/>
    <w:rsid w:val="353C7179"/>
    <w:rsid w:val="35EA7563"/>
    <w:rsid w:val="35EF74CF"/>
    <w:rsid w:val="36EB32C1"/>
    <w:rsid w:val="37FF7772"/>
    <w:rsid w:val="380D1E8F"/>
    <w:rsid w:val="38233460"/>
    <w:rsid w:val="39981C2C"/>
    <w:rsid w:val="39C40B52"/>
    <w:rsid w:val="3A6B7341"/>
    <w:rsid w:val="3ADD1FEC"/>
    <w:rsid w:val="3B902ED6"/>
    <w:rsid w:val="3BA877C1"/>
    <w:rsid w:val="3BE13D5E"/>
    <w:rsid w:val="3DDA2813"/>
    <w:rsid w:val="3F253F62"/>
    <w:rsid w:val="3F753605"/>
    <w:rsid w:val="40041DC9"/>
    <w:rsid w:val="402E5098"/>
    <w:rsid w:val="41105572"/>
    <w:rsid w:val="41D349E5"/>
    <w:rsid w:val="41EA3241"/>
    <w:rsid w:val="423F533B"/>
    <w:rsid w:val="42437045"/>
    <w:rsid w:val="425F0D31"/>
    <w:rsid w:val="430640AA"/>
    <w:rsid w:val="430A3B9B"/>
    <w:rsid w:val="436A288B"/>
    <w:rsid w:val="44083C3F"/>
    <w:rsid w:val="44160FDC"/>
    <w:rsid w:val="44A616A1"/>
    <w:rsid w:val="44ED5522"/>
    <w:rsid w:val="459736E0"/>
    <w:rsid w:val="45FC6AE1"/>
    <w:rsid w:val="470152B5"/>
    <w:rsid w:val="471C20EE"/>
    <w:rsid w:val="49CA3E14"/>
    <w:rsid w:val="4B1425C9"/>
    <w:rsid w:val="4B8244EA"/>
    <w:rsid w:val="4BCF5981"/>
    <w:rsid w:val="4C914D57"/>
    <w:rsid w:val="4CA0731E"/>
    <w:rsid w:val="4D720187"/>
    <w:rsid w:val="4D720CBA"/>
    <w:rsid w:val="4D7367E0"/>
    <w:rsid w:val="4DA44BEC"/>
    <w:rsid w:val="4F0E4A13"/>
    <w:rsid w:val="5015592D"/>
    <w:rsid w:val="514954A6"/>
    <w:rsid w:val="518816A1"/>
    <w:rsid w:val="51DB16D8"/>
    <w:rsid w:val="524E6EF6"/>
    <w:rsid w:val="52EF6909"/>
    <w:rsid w:val="53A56FC8"/>
    <w:rsid w:val="56F61952"/>
    <w:rsid w:val="579D4B86"/>
    <w:rsid w:val="57D460CD"/>
    <w:rsid w:val="57E722A5"/>
    <w:rsid w:val="57EA64DD"/>
    <w:rsid w:val="58A67A6A"/>
    <w:rsid w:val="58BC103B"/>
    <w:rsid w:val="59B17620"/>
    <w:rsid w:val="59CA7788"/>
    <w:rsid w:val="5B2027D8"/>
    <w:rsid w:val="5B4D241F"/>
    <w:rsid w:val="5B70435F"/>
    <w:rsid w:val="5B7114D5"/>
    <w:rsid w:val="5BA65531"/>
    <w:rsid w:val="5BBA1B63"/>
    <w:rsid w:val="5BC934AE"/>
    <w:rsid w:val="5C1961B7"/>
    <w:rsid w:val="5D0E3E30"/>
    <w:rsid w:val="5D9500AD"/>
    <w:rsid w:val="5DA402F0"/>
    <w:rsid w:val="5E826883"/>
    <w:rsid w:val="600910AF"/>
    <w:rsid w:val="604C539B"/>
    <w:rsid w:val="611C2FBF"/>
    <w:rsid w:val="6231659D"/>
    <w:rsid w:val="628506F0"/>
    <w:rsid w:val="62A15DCF"/>
    <w:rsid w:val="62F150E9"/>
    <w:rsid w:val="635D341B"/>
    <w:rsid w:val="64682077"/>
    <w:rsid w:val="65327D23"/>
    <w:rsid w:val="656A1E1F"/>
    <w:rsid w:val="66664CDC"/>
    <w:rsid w:val="666D606B"/>
    <w:rsid w:val="66C0619B"/>
    <w:rsid w:val="677F0CCA"/>
    <w:rsid w:val="67D918D5"/>
    <w:rsid w:val="680227E3"/>
    <w:rsid w:val="68120C78"/>
    <w:rsid w:val="684352D5"/>
    <w:rsid w:val="688B27D8"/>
    <w:rsid w:val="69083E29"/>
    <w:rsid w:val="691E2D99"/>
    <w:rsid w:val="69903D5A"/>
    <w:rsid w:val="69990F25"/>
    <w:rsid w:val="69CC30A8"/>
    <w:rsid w:val="6A136F29"/>
    <w:rsid w:val="6ABA0B43"/>
    <w:rsid w:val="6B1B6095"/>
    <w:rsid w:val="6C4E44ED"/>
    <w:rsid w:val="6CC62031"/>
    <w:rsid w:val="6D526D7F"/>
    <w:rsid w:val="6F7E4E45"/>
    <w:rsid w:val="70F33611"/>
    <w:rsid w:val="71C70D25"/>
    <w:rsid w:val="72165809"/>
    <w:rsid w:val="72A9667D"/>
    <w:rsid w:val="73635AF2"/>
    <w:rsid w:val="73A155A6"/>
    <w:rsid w:val="73CD326C"/>
    <w:rsid w:val="74107522"/>
    <w:rsid w:val="7420296E"/>
    <w:rsid w:val="74373814"/>
    <w:rsid w:val="74832394"/>
    <w:rsid w:val="755F1275"/>
    <w:rsid w:val="75880FCC"/>
    <w:rsid w:val="774C75D7"/>
    <w:rsid w:val="78367C7E"/>
    <w:rsid w:val="784B5AE0"/>
    <w:rsid w:val="79330A4E"/>
    <w:rsid w:val="79755692"/>
    <w:rsid w:val="7AAD1D53"/>
    <w:rsid w:val="7BAE260E"/>
    <w:rsid w:val="7C4A67DB"/>
    <w:rsid w:val="7C6330D4"/>
    <w:rsid w:val="7CB00608"/>
    <w:rsid w:val="7DDC0909"/>
    <w:rsid w:val="7E7C2E97"/>
    <w:rsid w:val="7F10538E"/>
    <w:rsid w:val="7F6C4CBA"/>
    <w:rsid w:val="7F963AE5"/>
    <w:rsid w:val="7FA93818"/>
    <w:rsid w:val="7FE707E4"/>
    <w:rsid w:val="B6BE510B"/>
    <w:rsid w:val="D7FBC3D6"/>
    <w:rsid w:val="F359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nhideWhenUsed/>
    <w:qFormat/>
    <w:uiPriority w:val="99"/>
    <w:pPr>
      <w:jc w:val="left"/>
    </w:pPr>
  </w:style>
  <w:style w:type="paragraph" w:styleId="6">
    <w:name w:val="Body Text Indent"/>
    <w:basedOn w:val="1"/>
    <w:next w:val="7"/>
    <w:qFormat/>
    <w:uiPriority w:val="0"/>
    <w:pPr>
      <w:spacing w:line="380" w:lineRule="exact"/>
      <w:ind w:firstLine="480"/>
    </w:pPr>
    <w:rPr>
      <w:rFonts w:eastAsia="方正书宋简体"/>
      <w:szCs w:val="20"/>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link w:val="29"/>
    <w:qFormat/>
    <w:uiPriority w:val="0"/>
    <w:pP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Body Text First Indent 2"/>
    <w:basedOn w:val="6"/>
    <w:next w:val="1"/>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character" w:styleId="19">
    <w:name w:val="footnote reference"/>
    <w:basedOn w:val="16"/>
    <w:qFormat/>
    <w:uiPriority w:val="0"/>
    <w:rPr>
      <w:vertAlign w:val="superscript"/>
    </w:rPr>
  </w:style>
  <w:style w:type="paragraph" w:customStyle="1" w:styleId="20">
    <w:name w:val="列出段落1"/>
    <w:basedOn w:val="1"/>
    <w:next w:val="21"/>
    <w:qFormat/>
    <w:uiPriority w:val="0"/>
    <w:pPr>
      <w:autoSpaceDE w:val="0"/>
      <w:autoSpaceDN w:val="0"/>
      <w:adjustRightInd w:val="0"/>
      <w:snapToGrid w:val="0"/>
      <w:spacing w:line="360" w:lineRule="auto"/>
      <w:ind w:firstLine="420"/>
    </w:pPr>
    <w:rPr>
      <w:spacing w:val="10"/>
      <w:kern w:val="0"/>
      <w:sz w:val="24"/>
    </w:rPr>
  </w:style>
  <w:style w:type="paragraph" w:styleId="21">
    <w:name w:val="List Paragraph"/>
    <w:basedOn w:val="1"/>
    <w:qFormat/>
    <w:uiPriority w:val="0"/>
    <w:pPr>
      <w:ind w:firstLine="420" w:firstLineChars="200"/>
    </w:pPr>
  </w:style>
  <w:style w:type="paragraph" w:customStyle="1" w:styleId="22">
    <w:name w:val="_Style 2"/>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3">
    <w:name w:val="正文文本 (2)1"/>
    <w:basedOn w:val="1"/>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24">
    <w:name w:val="正文文本 (2) + 间距 0 pt3"/>
    <w:qFormat/>
    <w:uiPriority w:val="99"/>
    <w:rPr>
      <w:rFonts w:ascii="MingLiU" w:eastAsia="MingLiU" w:cs="MingLiU"/>
      <w:spacing w:val="0"/>
      <w:sz w:val="22"/>
      <w:szCs w:val="22"/>
      <w:u w:val="none"/>
    </w:rPr>
  </w:style>
  <w:style w:type="character" w:customStyle="1" w:styleId="25">
    <w:name w:val="正文文本 (2) + 间距 0 pt5"/>
    <w:qFormat/>
    <w:uiPriority w:val="99"/>
    <w:rPr>
      <w:rFonts w:ascii="MingLiU" w:eastAsia="MingLiU" w:cs="MingLiU"/>
      <w:spacing w:val="0"/>
      <w:sz w:val="22"/>
      <w:szCs w:val="22"/>
      <w:u w:val="none"/>
    </w:rPr>
  </w:style>
  <w:style w:type="character" w:customStyle="1" w:styleId="26">
    <w:name w:val="正文文本 (2) + 10 pt37"/>
    <w:qFormat/>
    <w:uiPriority w:val="99"/>
    <w:rPr>
      <w:rFonts w:ascii="MingLiU" w:eastAsia="MingLiU" w:cs="MingLiU"/>
      <w:spacing w:val="0"/>
      <w:sz w:val="20"/>
      <w:szCs w:val="20"/>
      <w:u w:val="none"/>
    </w:rPr>
  </w:style>
  <w:style w:type="character" w:customStyle="1" w:styleId="27">
    <w:name w:val="正文文本 (2) + 10 pt24"/>
    <w:qFormat/>
    <w:uiPriority w:val="99"/>
    <w:rPr>
      <w:rFonts w:ascii="MingLiU" w:eastAsia="MingLiU" w:cs="MingLiU"/>
      <w:b/>
      <w:bCs/>
      <w:spacing w:val="0"/>
      <w:sz w:val="20"/>
      <w:szCs w:val="20"/>
      <w:u w:val="none"/>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character" w:customStyle="1" w:styleId="29">
    <w:name w:val="页眉 字符"/>
    <w:basedOn w:val="16"/>
    <w:link w:val="10"/>
    <w:qFormat/>
    <w:uiPriority w:val="0"/>
    <w:rPr>
      <w:rFonts w:ascii="Calibri" w:hAnsi="Calibri" w:eastAsia="宋体" w:cs="Times New Roman"/>
      <w:kern w:val="2"/>
      <w:sz w:val="18"/>
      <w:szCs w:val="18"/>
    </w:rPr>
  </w:style>
  <w:style w:type="paragraph" w:customStyle="1" w:styleId="30">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77</Pages>
  <Words>4833</Words>
  <Characters>27552</Characters>
  <DocSecurity>0</DocSecurity>
  <Lines>229</Lines>
  <Paragraphs>64</Paragraphs>
  <ScaleCrop>false</ScaleCrop>
  <LinksUpToDate>false</LinksUpToDate>
  <CharactersWithSpaces>32321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2023-10-26T09:05:00Z</cp:lastPrinted>
  <dcterms:created xsi:type="dcterms:W3CDTF">2023-09-20T12:20:00Z</dcterms:created>
  <dcterms:modified xsi:type="dcterms:W3CDTF">2023-10-27T07:29:04Z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A4DAD5F5B88442DABE74C0AB6C956480_11</vt:lpwstr>
  </property>
</Properties>
</file>