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32"/>
          <w:szCs w:val="32"/>
          <w:highlight w:val="none"/>
        </w:rPr>
      </w:pPr>
    </w:p>
    <w:p>
      <w:pPr>
        <w:pStyle w:val="15"/>
        <w:rPr>
          <w:rFonts w:hint="eastAsia" w:ascii="仿宋" w:hAnsi="仿宋" w:eastAsia="仿宋" w:cs="仿宋"/>
          <w:b/>
          <w:color w:val="auto"/>
          <w:sz w:val="32"/>
          <w:szCs w:val="32"/>
          <w:highlight w:val="none"/>
        </w:rPr>
      </w:pPr>
    </w:p>
    <w:p>
      <w:pPr>
        <w:rPr>
          <w:rFonts w:hint="eastAsia" w:ascii="仿宋" w:hAnsi="仿宋" w:eastAsia="仿宋" w:cs="仿宋"/>
          <w:b/>
          <w:color w:val="auto"/>
          <w:sz w:val="52"/>
          <w:szCs w:val="52"/>
          <w:highlight w:val="none"/>
        </w:rPr>
      </w:pP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spacing w:line="360" w:lineRule="auto"/>
        <w:ind w:firstLine="260" w:firstLineChars="50"/>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肇庆交投孔湾港务有限公司</w:t>
      </w:r>
    </w:p>
    <w:p>
      <w:pPr>
        <w:spacing w:line="360" w:lineRule="auto"/>
        <w:ind w:firstLine="260" w:firstLineChars="50"/>
        <w:jc w:val="center"/>
        <w:rPr>
          <w:rFonts w:hint="default"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办公家具采购项目</w:t>
      </w:r>
    </w:p>
    <w:p>
      <w:pPr>
        <w:spacing w:line="360" w:lineRule="auto"/>
        <w:ind w:firstLine="120" w:firstLineChars="50"/>
        <w:jc w:val="center"/>
        <w:rPr>
          <w:rFonts w:hint="eastAsia" w:ascii="仿宋" w:hAnsi="仿宋" w:eastAsia="仿宋" w:cs="仿宋"/>
          <w:b/>
          <w:color w:val="auto"/>
          <w:sz w:val="24"/>
          <w:highlight w:val="none"/>
        </w:rPr>
      </w:pPr>
    </w:p>
    <w:p>
      <w:pPr>
        <w:spacing w:line="360" w:lineRule="auto"/>
        <w:ind w:firstLine="240" w:firstLineChars="50"/>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val="en-US" w:eastAsia="zh-CN"/>
        </w:rPr>
        <w:t>自主招标文件</w:t>
      </w: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360" w:lineRule="auto"/>
        <w:ind w:firstLine="846" w:firstLineChars="235"/>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招标人</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肇庆交投孔湾港务有限公司</w:t>
      </w:r>
    </w:p>
    <w:p>
      <w:pPr>
        <w:spacing w:line="360" w:lineRule="auto"/>
        <w:ind w:firstLine="846" w:firstLineChars="235"/>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ind w:firstLine="846" w:firstLineChars="235"/>
        <w:jc w:val="center"/>
        <w:rPr>
          <w:rFonts w:hint="eastAsia" w:ascii="仿宋" w:hAnsi="仿宋" w:eastAsia="仿宋" w:cs="仿宋"/>
          <w:b/>
          <w:bCs/>
          <w:color w:val="auto"/>
          <w:sz w:val="36"/>
          <w:szCs w:val="4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b/>
          <w:bCs/>
          <w:color w:val="auto"/>
          <w:sz w:val="36"/>
          <w:szCs w:val="44"/>
          <w:highlight w:val="none"/>
          <w:lang w:val="en-US" w:eastAsia="zh-CN"/>
        </w:rPr>
        <w:t>2023年10月</w:t>
      </w:r>
    </w:p>
    <w:p>
      <w:pPr>
        <w:pStyle w:val="26"/>
        <w:jc w:val="center"/>
        <w:rPr>
          <w:rFonts w:hint="eastAsia"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目  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p>
    <w:p>
      <w:pPr>
        <w:pStyle w:val="12"/>
        <w:tabs>
          <w:tab w:val="right" w:leader="dot" w:pos="8306"/>
        </w:tabs>
        <w:rPr>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"1-1"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_Toc31643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lang w:val="en-US" w:eastAsia="zh-CN"/>
        </w:rPr>
        <w:t xml:space="preserve">第一章 </w:t>
      </w:r>
      <w:r>
        <w:rPr>
          <w:rFonts w:hint="eastAsia" w:ascii="仿宋" w:hAnsi="仿宋" w:eastAsia="仿宋" w:cs="仿宋"/>
          <w:color w:val="auto"/>
          <w:sz w:val="28"/>
          <w:szCs w:val="28"/>
          <w:highlight w:val="none"/>
          <w:lang w:eastAsia="zh-CN"/>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_Toc31643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_Toc9759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_Toc9759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_Toc3884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 xml:space="preserve">第三章 </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_Toc3884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_Toc16103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strike w:val="0"/>
          <w:dstrike w:val="0"/>
          <w:color w:val="auto"/>
          <w:sz w:val="28"/>
          <w:szCs w:val="28"/>
          <w:highlight w:val="none"/>
        </w:rPr>
        <w:t>第四章 评审方法</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_Toc16103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_Toc15602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_Toc15602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2"/>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_Toc1486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内容及格式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_Toc1486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 w:val="28"/>
          <w:szCs w:val="28"/>
          <w:highlight w:val="none"/>
        </w:rPr>
        <w:fldChar w:fldCharType="end"/>
      </w:r>
    </w:p>
    <w:p>
      <w:pPr>
        <w:pStyle w:val="2"/>
        <w:adjustRightInd w:val="0"/>
        <w:snapToGrid w:val="0"/>
        <w:spacing w:before="0" w:after="0" w:line="360" w:lineRule="auto"/>
        <w:jc w:val="center"/>
        <w:rPr>
          <w:rFonts w:hint="eastAsia" w:ascii="仿宋" w:hAnsi="仿宋" w:eastAsia="仿宋" w:cs="仿宋"/>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_Toc17034"/>
      <w:bookmarkStart w:id="1" w:name="_Toc30996_WPSOffice_Level1"/>
    </w:p>
    <w:p>
      <w:pPr>
        <w:pStyle w:val="2"/>
        <w:pageBreakBefore w:val="0"/>
        <w:kinsoku/>
        <w:wordWrap/>
        <w:overflowPunct/>
        <w:topLinePunct w:val="0"/>
        <w:bidi w:val="0"/>
        <w:adjustRightInd w:val="0"/>
        <w:snapToGrid w:val="0"/>
        <w:spacing w:before="0" w:after="0" w:line="360" w:lineRule="auto"/>
        <w:ind w:left="0" w:firstLine="602" w:firstLineChars="200"/>
        <w:jc w:val="center"/>
        <w:textAlignment w:val="auto"/>
        <w:rPr>
          <w:rFonts w:hint="eastAsia" w:ascii="仿宋" w:hAnsi="仿宋" w:eastAsia="仿宋" w:cs="仿宋"/>
          <w:color w:val="auto"/>
          <w:sz w:val="30"/>
          <w:szCs w:val="30"/>
          <w:highlight w:val="none"/>
          <w:lang w:eastAsia="zh-CN"/>
        </w:rPr>
      </w:pPr>
      <w:bookmarkStart w:id="2" w:name="_Toc31643"/>
      <w:r>
        <w:rPr>
          <w:rFonts w:hint="eastAsia" w:ascii="仿宋" w:hAnsi="仿宋" w:eastAsia="仿宋" w:cs="仿宋"/>
          <w:color w:val="auto"/>
          <w:sz w:val="30"/>
          <w:szCs w:val="30"/>
          <w:highlight w:val="none"/>
          <w:lang w:val="en-US" w:eastAsia="zh-CN"/>
        </w:rPr>
        <w:t xml:space="preserve">第一章 </w:t>
      </w:r>
      <w:bookmarkEnd w:id="0"/>
      <w:bookmarkEnd w:id="1"/>
      <w:r>
        <w:rPr>
          <w:rFonts w:hint="eastAsia" w:ascii="仿宋" w:hAnsi="仿宋" w:eastAsia="仿宋" w:cs="仿宋"/>
          <w:color w:val="auto"/>
          <w:sz w:val="30"/>
          <w:szCs w:val="30"/>
          <w:highlight w:val="none"/>
          <w:lang w:eastAsia="zh-CN"/>
        </w:rPr>
        <w:t>招标公告</w:t>
      </w:r>
      <w:bookmarkEnd w:id="2"/>
    </w:p>
    <w:p>
      <w:pPr>
        <w:pageBreakBefore w:val="0"/>
        <w:kinsoku/>
        <w:wordWrap/>
        <w:overflowPunct/>
        <w:topLinePunct w:val="0"/>
        <w:bidi w:val="0"/>
        <w:adjustRightInd w:val="0"/>
        <w:snapToGrid w:val="0"/>
        <w:spacing w:line="360" w:lineRule="auto"/>
        <w:ind w:left="0" w:firstLine="420" w:firstLineChars="200"/>
        <w:jc w:val="center"/>
        <w:textAlignment w:val="auto"/>
        <w:rPr>
          <w:rFonts w:hint="eastAsia" w:ascii="仿宋" w:hAnsi="仿宋" w:eastAsia="仿宋" w:cs="仿宋"/>
          <w:color w:val="auto"/>
          <w:sz w:val="21"/>
          <w:szCs w:val="21"/>
          <w:highlight w:val="none"/>
          <w:lang w:eastAsia="zh-CN"/>
        </w:rPr>
      </w:pP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招标条件和招标方式</w:t>
      </w:r>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招标条件</w:t>
      </w:r>
    </w:p>
    <w:p>
      <w:pPr>
        <w:pStyle w:val="15"/>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t xml:space="preserve">肇庆交投孔湾港务有限公司办公家具采购项目 </w:t>
      </w:r>
      <w:r>
        <w:rPr>
          <w:rFonts w:hint="eastAsia" w:ascii="仿宋" w:hAnsi="仿宋" w:eastAsia="仿宋" w:cs="仿宋"/>
          <w:color w:val="auto"/>
          <w:sz w:val="21"/>
          <w:szCs w:val="21"/>
          <w:highlight w:val="none"/>
          <w:u w:val="none"/>
          <w:lang w:val="en-US" w:eastAsia="zh-CN"/>
        </w:rPr>
        <w:t>已具备招标条件，经</w:t>
      </w:r>
      <w:r>
        <w:rPr>
          <w:rFonts w:hint="eastAsia" w:ascii="仿宋" w:hAnsi="仿宋" w:eastAsia="仿宋" w:cs="仿宋"/>
          <w:color w:val="auto"/>
          <w:sz w:val="21"/>
          <w:szCs w:val="21"/>
          <w:highlight w:val="none"/>
          <w:u w:val="single"/>
          <w:lang w:val="en-US" w:eastAsia="zh-CN"/>
        </w:rPr>
        <w:t>肇庆市港口投资发展有限公司</w:t>
      </w:r>
      <w:r>
        <w:rPr>
          <w:rFonts w:hint="eastAsia" w:ascii="仿宋" w:hAnsi="仿宋" w:eastAsia="仿宋" w:cs="仿宋"/>
          <w:color w:val="auto"/>
          <w:sz w:val="21"/>
          <w:szCs w:val="21"/>
          <w:highlight w:val="none"/>
          <w:u w:val="none"/>
          <w:lang w:val="en-US" w:eastAsia="zh-CN"/>
        </w:rPr>
        <w:t>批准，现对该项目采用资格后审方式实施招标活动，现邀请合格的潜在投标人参加本项目投标。</w:t>
      </w:r>
    </w:p>
    <w:p>
      <w:pPr>
        <w:pageBreakBefore w:val="0"/>
        <w:kinsoku/>
        <w:wordWrap/>
        <w:overflowPunct/>
        <w:topLinePunct w:val="0"/>
        <w:bidi w:val="0"/>
        <w:adjustRightInd w:val="0"/>
        <w:snapToGrid w:val="0"/>
        <w:spacing w:line="360" w:lineRule="auto"/>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 项目编号：</w:t>
      </w:r>
      <w:r>
        <w:rPr>
          <w:rFonts w:hint="eastAsia" w:ascii="仿宋" w:hAnsi="仿宋" w:eastAsia="仿宋" w:cs="仿宋"/>
          <w:color w:val="auto"/>
          <w:kern w:val="2"/>
          <w:sz w:val="21"/>
          <w:szCs w:val="21"/>
          <w:highlight w:val="none"/>
          <w:u w:val="none"/>
          <w:lang w:val="en-US" w:eastAsia="zh-CN" w:bidi="ar-SA"/>
        </w:rPr>
        <w:t>ZQJTJT（2023）-116</w:t>
      </w:r>
      <w:bookmarkStart w:id="22" w:name="_GoBack"/>
      <w:bookmarkEnd w:id="22"/>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 </w:t>
      </w:r>
      <w:r>
        <w:rPr>
          <w:rFonts w:hint="eastAsia" w:ascii="仿宋" w:hAnsi="仿宋" w:eastAsia="仿宋" w:cs="仿宋"/>
          <w:color w:val="auto"/>
          <w:sz w:val="21"/>
          <w:szCs w:val="21"/>
          <w:highlight w:val="none"/>
          <w:lang w:eastAsia="zh-CN"/>
        </w:rPr>
        <w:t>招标方式</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自主招标</w:t>
      </w:r>
    </w:p>
    <w:p>
      <w:pPr>
        <w:pStyle w:val="24"/>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1.4 招标项目类型：</w:t>
      </w:r>
      <w:r>
        <w:rPr>
          <w:rFonts w:hint="eastAsia" w:ascii="仿宋" w:hAnsi="仿宋" w:eastAsia="仿宋" w:cs="仿宋"/>
          <w:color w:val="auto"/>
          <w:kern w:val="2"/>
          <w:sz w:val="21"/>
          <w:szCs w:val="21"/>
          <w:highlight w:val="none"/>
          <w:u w:val="none"/>
          <w:lang w:val="en-US" w:eastAsia="zh-CN" w:bidi="ar-SA"/>
        </w:rPr>
        <w:t>货物</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招标内容和范围</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1"/>
          <w:highlight w:val="none"/>
          <w:u w:val="none"/>
          <w:lang w:val="en-US" w:eastAsia="zh-CN" w:bidi="ar-SA"/>
        </w:rPr>
        <w:t>本项目招标内容和范围：</w:t>
      </w:r>
      <w:r>
        <w:rPr>
          <w:rFonts w:hint="eastAsia" w:ascii="仿宋" w:hAnsi="仿宋" w:eastAsia="仿宋" w:cs="仿宋"/>
          <w:color w:val="auto"/>
          <w:sz w:val="21"/>
          <w:szCs w:val="21"/>
          <w:highlight w:val="none"/>
          <w:lang w:val="en-US" w:eastAsia="zh-CN"/>
        </w:rPr>
        <w:t>办公桌、办公椅等办公家具（详见招标人需求）。</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本项目交货期为</w:t>
      </w:r>
      <w:r>
        <w:rPr>
          <w:rFonts w:hint="eastAsia" w:ascii="仿宋" w:hAnsi="仿宋" w:eastAsia="仿宋" w:cs="仿宋"/>
          <w:color w:val="auto"/>
          <w:kern w:val="2"/>
          <w:sz w:val="21"/>
          <w:szCs w:val="21"/>
          <w:highlight w:val="none"/>
          <w:u w:val="single"/>
          <w:lang w:val="en-US" w:eastAsia="zh-CN" w:bidi="ar-SA"/>
        </w:rPr>
        <w:t xml:space="preserve"> 7 </w:t>
      </w:r>
      <w:r>
        <w:rPr>
          <w:rFonts w:hint="eastAsia" w:ascii="仿宋" w:hAnsi="仿宋" w:eastAsia="仿宋" w:cs="仿宋"/>
          <w:color w:val="auto"/>
          <w:kern w:val="2"/>
          <w:sz w:val="21"/>
          <w:szCs w:val="21"/>
          <w:highlight w:val="none"/>
          <w:u w:val="none"/>
          <w:lang w:val="en-US" w:eastAsia="zh-CN" w:bidi="ar-SA"/>
        </w:rPr>
        <w:t>天。</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本项目建设地点位于</w:t>
      </w:r>
      <w:r>
        <w:rPr>
          <w:rFonts w:hint="eastAsia" w:ascii="仿宋" w:hAnsi="仿宋" w:eastAsia="仿宋" w:cs="仿宋"/>
          <w:color w:val="auto"/>
          <w:kern w:val="2"/>
          <w:sz w:val="21"/>
          <w:szCs w:val="21"/>
          <w:highlight w:val="none"/>
          <w:u w:val="single"/>
          <w:lang w:val="en-US" w:eastAsia="zh-CN" w:bidi="ar-SA"/>
        </w:rPr>
        <w:t xml:space="preserve"> 广东省肇庆市高要区小湘镇湘欣路 </w:t>
      </w:r>
      <w:r>
        <w:rPr>
          <w:rFonts w:hint="eastAsia" w:ascii="仿宋" w:hAnsi="仿宋" w:eastAsia="仿宋" w:cs="仿宋"/>
          <w:color w:val="auto"/>
          <w:kern w:val="2"/>
          <w:sz w:val="21"/>
          <w:szCs w:val="21"/>
          <w:highlight w:val="none"/>
          <w:u w:val="none"/>
          <w:lang w:val="en-US" w:eastAsia="zh-CN" w:bidi="ar-SA"/>
        </w:rPr>
        <w:t xml:space="preserve"> 。</w:t>
      </w:r>
    </w:p>
    <w:p>
      <w:pPr>
        <w:pStyle w:val="15"/>
        <w:keepNext w:val="0"/>
        <w:keepLines w:val="0"/>
        <w:pageBreakBefore w:val="0"/>
        <w:widowControl w:val="0"/>
        <w:numPr>
          <w:ilvl w:val="1"/>
          <w:numId w:val="1"/>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kern w:val="2"/>
          <w:sz w:val="21"/>
          <w:szCs w:val="21"/>
          <w:highlight w:val="none"/>
          <w:u w:val="none"/>
          <w:lang w:val="en-US" w:eastAsia="zh-CN" w:bidi="ar-SA"/>
        </w:rPr>
        <w:t>货物质量标准和主要性能指标</w:t>
      </w:r>
      <w:r>
        <w:rPr>
          <w:rFonts w:hint="eastAsia" w:ascii="仿宋" w:hAnsi="仿宋" w:eastAsia="仿宋" w:cs="仿宋"/>
          <w:color w:val="auto"/>
          <w:kern w:val="2"/>
          <w:sz w:val="21"/>
          <w:szCs w:val="21"/>
          <w:highlight w:val="none"/>
          <w:u w:val="none"/>
          <w:lang w:val="en-US" w:eastAsia="zh-CN" w:bidi="ar-SA"/>
        </w:rPr>
        <w:t>：</w:t>
      </w:r>
      <w:r>
        <w:rPr>
          <w:rFonts w:hint="eastAsia" w:ascii="仿宋" w:hAnsi="仿宋" w:eastAsia="仿宋" w:cs="仿宋"/>
          <w:szCs w:val="21"/>
          <w:u w:val="none"/>
        </w:rPr>
        <w:t>执行国家、省或行业现行的质量验收标准及规范，符合招标人需求</w:t>
      </w:r>
      <w:r>
        <w:rPr>
          <w:rFonts w:hint="eastAsia" w:ascii="仿宋" w:hAnsi="仿宋" w:eastAsia="仿宋" w:cs="仿宋"/>
          <w:color w:val="auto"/>
          <w:sz w:val="21"/>
          <w:szCs w:val="21"/>
          <w:highlight w:val="none"/>
          <w:u w:val="none"/>
          <w:lang w:val="en-US" w:eastAsia="zh-CN"/>
        </w:rPr>
        <w:t>；保修期内免费维修，在</w:t>
      </w:r>
      <w:r>
        <w:rPr>
          <w:rFonts w:hint="default" w:ascii="仿宋" w:hAnsi="仿宋" w:eastAsia="仿宋" w:cs="仿宋"/>
          <w:color w:val="auto"/>
          <w:sz w:val="21"/>
          <w:szCs w:val="21"/>
          <w:highlight w:val="none"/>
          <w:u w:val="none"/>
          <w:lang w:val="en-US" w:eastAsia="zh-CN"/>
        </w:rPr>
        <w:t>保</w:t>
      </w:r>
      <w:r>
        <w:rPr>
          <w:rFonts w:hint="default" w:ascii="仿宋" w:hAnsi="仿宋" w:eastAsia="仿宋" w:cs="仿宋"/>
          <w:color w:val="auto"/>
          <w:sz w:val="21"/>
          <w:szCs w:val="21"/>
          <w:highlight w:val="none"/>
          <w:lang w:val="en-US" w:eastAsia="zh-CN"/>
        </w:rPr>
        <w:t>修期后如需更换零部件，应以优惠价提供</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将货物送到指定地点，完成安装</w:t>
      </w:r>
      <w:r>
        <w:rPr>
          <w:rFonts w:hint="eastAsia" w:ascii="仿宋" w:hAnsi="仿宋" w:eastAsia="仿宋" w:cs="仿宋"/>
          <w:color w:val="auto"/>
          <w:sz w:val="21"/>
          <w:szCs w:val="21"/>
          <w:highlight w:val="none"/>
          <w:lang w:val="en-US" w:eastAsia="zh-CN"/>
        </w:rPr>
        <w:t>。</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本项目最高限价为：</w:t>
      </w:r>
      <w:r>
        <w:rPr>
          <w:rFonts w:hint="eastAsia" w:ascii="仿宋" w:hAnsi="仿宋" w:eastAsia="仿宋" w:cs="仿宋"/>
          <w:i w:val="0"/>
          <w:iCs w:val="0"/>
          <w:color w:val="000000"/>
          <w:kern w:val="0"/>
          <w:sz w:val="21"/>
          <w:szCs w:val="21"/>
          <w:u w:val="none"/>
          <w:lang w:val="en-US" w:eastAsia="zh-CN" w:bidi="ar"/>
        </w:rPr>
        <w:t>73993.16</w:t>
      </w:r>
      <w:r>
        <w:rPr>
          <w:rFonts w:hint="eastAsia" w:ascii="仿宋" w:hAnsi="仿宋" w:eastAsia="仿宋" w:cs="仿宋"/>
          <w:color w:val="auto"/>
          <w:kern w:val="2"/>
          <w:sz w:val="21"/>
          <w:szCs w:val="21"/>
          <w:highlight w:val="none"/>
          <w:u w:val="none"/>
          <w:lang w:val="en-US" w:eastAsia="zh-CN" w:bidi="ar-SA"/>
        </w:rPr>
        <w:t>元。（投标价应</w:t>
      </w:r>
      <w:r>
        <w:rPr>
          <w:rFonts w:hint="eastAsia" w:ascii="仿宋" w:hAnsi="仿宋" w:eastAsia="仿宋" w:cs="仿宋"/>
          <w:b w:val="0"/>
          <w:bCs/>
          <w:color w:val="auto"/>
          <w:sz w:val="21"/>
          <w:szCs w:val="21"/>
          <w:highlight w:val="none"/>
          <w:vertAlign w:val="baseline"/>
          <w:lang w:val="en-US" w:eastAsia="zh-CN"/>
        </w:rPr>
        <w:t>包含</w:t>
      </w:r>
      <w:r>
        <w:rPr>
          <w:rFonts w:hint="eastAsia" w:ascii="仿宋" w:hAnsi="仿宋" w:eastAsia="仿宋" w:cs="仿宋"/>
          <w:b w:val="0"/>
          <w:bCs/>
          <w:color w:val="auto"/>
          <w:sz w:val="21"/>
          <w:szCs w:val="21"/>
          <w:highlight w:val="none"/>
          <w:lang w:val="en-US" w:eastAsia="zh-CN"/>
        </w:rPr>
        <w:t>完</w:t>
      </w:r>
      <w:r>
        <w:rPr>
          <w:rFonts w:hint="eastAsia" w:ascii="仿宋" w:hAnsi="仿宋" w:eastAsia="仿宋" w:cs="仿宋"/>
          <w:color w:val="auto"/>
          <w:sz w:val="21"/>
          <w:szCs w:val="21"/>
          <w:highlight w:val="none"/>
          <w:lang w:val="en-US" w:eastAsia="zh-CN"/>
        </w:rPr>
        <w:t>成本标包全部工作内容的人工费、安装费、运输费、税费等一切与之相关的费用）</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服务成果要求：满足招标人的装修要求。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的资格要求</w:t>
      </w:r>
      <w:r>
        <w:rPr>
          <w:rFonts w:hint="eastAsia" w:ascii="仿宋" w:hAnsi="仿宋" w:eastAsia="仿宋" w:cs="仿宋"/>
          <w:color w:val="auto"/>
          <w:sz w:val="21"/>
          <w:szCs w:val="21"/>
          <w:highlight w:val="none"/>
        </w:rPr>
        <w:t>：</w:t>
      </w:r>
    </w:p>
    <w:p>
      <w:pPr>
        <w:keepNext w:val="0"/>
        <w:keepLines w:val="0"/>
        <w:pageBreakBefore w:val="0"/>
        <w:widowControl w:val="0"/>
        <w:numPr>
          <w:ilvl w:val="1"/>
          <w:numId w:val="1"/>
        </w:numPr>
        <w:tabs>
          <w:tab w:val="left" w:pos="1980"/>
        </w:tabs>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投标人资格要求</w:t>
      </w:r>
      <w:r>
        <w:rPr>
          <w:rFonts w:hint="eastAsia" w:ascii="仿宋" w:hAnsi="仿宋" w:eastAsia="仿宋" w:cs="仿宋"/>
          <w:color w:val="auto"/>
          <w:sz w:val="21"/>
          <w:szCs w:val="21"/>
          <w:highlight w:val="none"/>
        </w:rPr>
        <w:t>：</w:t>
      </w:r>
    </w:p>
    <w:p>
      <w:pPr>
        <w:pStyle w:val="15"/>
        <w:pageBreakBefore w:val="0"/>
        <w:numPr>
          <w:ilvl w:val="0"/>
          <w:numId w:val="0"/>
        </w:numPr>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参加本项目的投标人应当是中华人民共和国境内的法人，同时还应具备如下条件：</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）具有独立承担民事责任的能力；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）具有良好的商业信誉和健全的财务会计制度；</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sz w:val="21"/>
          <w:szCs w:val="21"/>
          <w:highlight w:val="none"/>
          <w:lang w:val="en-US" w:eastAsia="zh-CN"/>
        </w:rPr>
        <w:t>投标人营业执照含有“办公设备”或“家具”</w:t>
      </w:r>
      <w:r>
        <w:rPr>
          <w:rFonts w:hint="eastAsia" w:ascii="仿宋" w:hAnsi="仿宋" w:eastAsia="仿宋" w:cs="仿宋"/>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法律、行政法规</w:t>
      </w:r>
      <w:r>
        <w:rPr>
          <w:rFonts w:hint="eastAsia" w:ascii="仿宋" w:hAnsi="仿宋" w:eastAsia="仿宋" w:cs="仿宋"/>
          <w:color w:val="auto"/>
          <w:sz w:val="21"/>
          <w:szCs w:val="21"/>
          <w:highlight w:val="none"/>
          <w:lang w:val="en-US" w:eastAsia="zh-CN"/>
        </w:rPr>
        <w:t>和本项目招标文件</w:t>
      </w:r>
      <w:r>
        <w:rPr>
          <w:rFonts w:hint="eastAsia" w:ascii="仿宋" w:hAnsi="仿宋" w:eastAsia="仿宋" w:cs="仿宋"/>
          <w:color w:val="auto"/>
          <w:sz w:val="21"/>
          <w:szCs w:val="21"/>
          <w:highlight w:val="none"/>
        </w:rPr>
        <w:t>规定的其他条件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r>
        <w:rPr>
          <w:rFonts w:hint="eastAsia" w:ascii="仿宋" w:hAnsi="仿宋" w:eastAsia="仿宋" w:cs="仿宋"/>
          <w:i w:val="0"/>
          <w:iCs w:val="0"/>
          <w:color w:val="auto"/>
          <w:sz w:val="21"/>
          <w:szCs w:val="21"/>
          <w:highlight w:val="none"/>
          <w:lang w:val="en-US" w:eastAsia="zh-CN"/>
        </w:rPr>
        <w:t xml:space="preserve"> 投标人不得存在下列情形之一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（1）与招标人存在利害关系且可能影响采购公正性。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（2）与同一标段的其他投标人的单位负责人为同一人。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（3）与同一标段的其他投标人存在直接控股关系。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（4）与同一标段的其他投标人存在管理关系。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（5）近三年内在经营活动中存在以下严重不良情形：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①被广东省以上行业主管部门依法暂停、取消投标或禁止参加招标活动的。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②处于被责令停产停业、暂扣或者吊销执照、暂扣或者吊销许可证、吊销资质证书状态。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③进入清算程序，或被宣告破产，或其他丧失履约能力情形的。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④根据肇庆市交通集团有限公司投标人管理要求，被禁止参与招标活动且处于有效期内的。</w:t>
      </w:r>
    </w:p>
    <w:p>
      <w:pPr>
        <w:pStyle w:val="24"/>
        <w:pageBreakBefore w:val="0"/>
        <w:numPr>
          <w:ilvl w:val="0"/>
          <w:numId w:val="2"/>
        </w:numPr>
        <w:kinsoku/>
        <w:wordWrap/>
        <w:overflowPunct/>
        <w:topLinePunct w:val="0"/>
        <w:bidi w:val="0"/>
        <w:spacing w:before="0" w:beforeLines="0" w:after="0" w:afterLines="0" w:line="360" w:lineRule="auto"/>
        <w:ind w:left="0" w:firstLine="46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国家企业信用信息公示系统</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.gov.cn/）中被列入</w:t>
      </w:r>
      <w:r>
        <w:rPr>
          <w:rFonts w:hint="eastAsia" w:ascii="仿宋" w:hAnsi="仿宋" w:eastAsia="仿宋" w:cs="仿宋"/>
          <w:color w:val="auto"/>
          <w:sz w:val="21"/>
          <w:szCs w:val="21"/>
          <w:highlight w:val="none"/>
          <w:lang w:val="en-US" w:eastAsia="zh-CN"/>
        </w:rPr>
        <w:t>严重违法失</w:t>
      </w:r>
      <w:r>
        <w:rPr>
          <w:rFonts w:hint="eastAsia" w:ascii="仿宋" w:hAnsi="仿宋" w:eastAsia="仿宋" w:cs="仿宋"/>
          <w:color w:val="auto"/>
          <w:sz w:val="21"/>
          <w:szCs w:val="21"/>
          <w:highlight w:val="none"/>
        </w:rPr>
        <w:t>信</w:t>
      </w:r>
      <w:r>
        <w:rPr>
          <w:rFonts w:hint="eastAsia" w:ascii="仿宋" w:hAnsi="仿宋" w:eastAsia="仿宋" w:cs="仿宋"/>
          <w:color w:val="auto"/>
          <w:sz w:val="21"/>
          <w:szCs w:val="21"/>
          <w:highlight w:val="none"/>
          <w:lang w:val="en-US" w:eastAsia="zh-CN"/>
        </w:rPr>
        <w:t>企业</w:t>
      </w:r>
      <w:r>
        <w:rPr>
          <w:rFonts w:hint="eastAsia" w:ascii="仿宋" w:hAnsi="仿宋" w:eastAsia="仿宋" w:cs="仿宋"/>
          <w:color w:val="auto"/>
          <w:sz w:val="21"/>
          <w:szCs w:val="21"/>
          <w:highlight w:val="none"/>
        </w:rPr>
        <w:t>名单</w:t>
      </w:r>
      <w:r>
        <w:rPr>
          <w:rFonts w:hint="eastAsia" w:ascii="仿宋" w:hAnsi="仿宋" w:eastAsia="仿宋" w:cs="仿宋"/>
          <w:color w:val="auto"/>
          <w:sz w:val="21"/>
          <w:szCs w:val="21"/>
          <w:highlight w:val="none"/>
          <w:lang w:eastAsia="zh-CN"/>
        </w:rPr>
        <w:t>。</w:t>
      </w:r>
    </w:p>
    <w:p>
      <w:pPr>
        <w:pStyle w:val="25"/>
        <w:pageBreakBefore w:val="0"/>
        <w:numPr>
          <w:ilvl w:val="0"/>
          <w:numId w:val="2"/>
        </w:numPr>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信用中国</w:t>
      </w:r>
      <w:r>
        <w:rPr>
          <w:rFonts w:hint="eastAsia" w:ascii="仿宋" w:hAnsi="仿宋" w:eastAsia="仿宋" w:cs="仿宋"/>
          <w:color w:val="auto"/>
          <w:sz w:val="21"/>
          <w:szCs w:val="21"/>
          <w:highlight w:val="none"/>
        </w:rPr>
        <w:t>”网站（http://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creditchina</w:t>
      </w:r>
      <w:r>
        <w:rPr>
          <w:rFonts w:hint="eastAsia" w:ascii="仿宋" w:hAnsi="仿宋" w:eastAsia="仿宋" w:cs="仿宋"/>
          <w:color w:val="auto"/>
          <w:sz w:val="21"/>
          <w:szCs w:val="21"/>
          <w:highlight w:val="none"/>
        </w:rPr>
        <w:t>.gov.cn/）中被列入失信被执行人名单</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3.3 本次项目不接受联合体参加招标活动。</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招标文件的获取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 登记时间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从</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color w:val="auto"/>
          <w:sz w:val="21"/>
          <w:szCs w:val="21"/>
          <w:highlight w:val="none"/>
          <w:u w:val="single"/>
          <w:lang w:val="en-US" w:eastAsia="zh-CN"/>
        </w:rPr>
        <w:t xml:space="preserve"> 10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color w:val="auto"/>
          <w:sz w:val="21"/>
          <w:szCs w:val="21"/>
          <w:highlight w:val="none"/>
          <w:u w:val="none"/>
          <w:lang w:val="en-US" w:eastAsia="zh-CN"/>
        </w:rPr>
        <w:t>9:00时</w:t>
      </w:r>
      <w:r>
        <w:rPr>
          <w:rFonts w:hint="eastAsia" w:ascii="仿宋" w:hAnsi="仿宋" w:eastAsia="仿宋" w:cs="仿宋"/>
          <w:color w:val="auto"/>
          <w:sz w:val="21"/>
          <w:szCs w:val="21"/>
          <w:highlight w:val="none"/>
          <w:u w:val="none"/>
        </w:rPr>
        <w:t>至</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strike w:val="0"/>
          <w:dstrike w:val="0"/>
          <w:color w:val="auto"/>
          <w:sz w:val="21"/>
          <w:szCs w:val="21"/>
          <w:highlight w:val="none"/>
          <w:u w:val="single"/>
          <w:lang w:val="en-US" w:eastAsia="zh-CN"/>
        </w:rPr>
        <w:t>11</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i w:val="0"/>
          <w:iCs/>
          <w:color w:val="auto"/>
          <w:sz w:val="21"/>
          <w:szCs w:val="21"/>
          <w:highlight w:val="none"/>
          <w:u w:val="none"/>
          <w:lang w:val="en-US" w:eastAsia="zh-CN"/>
        </w:rPr>
        <w:t>24:00时（北京时间）止。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 获取方式</w:t>
      </w:r>
    </w:p>
    <w:p>
      <w:pPr>
        <w:pStyle w:val="15"/>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下载招标文件，下载路径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http://36.140.21.61:8900/</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 交纳招标文件工本费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不收费。</w:t>
      </w:r>
    </w:p>
    <w:p>
      <w:pPr>
        <w:pStyle w:val="15"/>
        <w:pageBreakBefore w:val="0"/>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4.4 联系人</w:t>
      </w:r>
    </w:p>
    <w:p>
      <w:pPr>
        <w:pageBreakBefore w:val="0"/>
        <w:kinsoku/>
        <w:wordWrap/>
        <w:overflowPunct/>
        <w:topLinePunct w:val="0"/>
        <w:bidi w:val="0"/>
        <w:spacing w:line="360" w:lineRule="auto"/>
        <w:ind w:left="0" w:firstLine="420" w:firstLineChars="20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购买或领取招标文件时务必填写本次投标业务的联系人，在招标过程中的相关信息将以短信形式发送到该联系人手机上。自购买或领取招标文件之日起，投标人应保证其提供的联系方式一直有效，以便及时收到招标人发出的函件，否则招标人不承担由此引起的一切后果。</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投标文件</w:t>
      </w:r>
      <w:r>
        <w:rPr>
          <w:rFonts w:hint="eastAsia" w:ascii="仿宋" w:hAnsi="仿宋" w:eastAsia="仿宋" w:cs="仿宋"/>
          <w:b/>
          <w:bCs/>
          <w:color w:val="auto"/>
          <w:sz w:val="21"/>
          <w:szCs w:val="21"/>
          <w:highlight w:val="none"/>
          <w:lang w:val="en-US" w:eastAsia="zh-CN"/>
        </w:rPr>
        <w:t>递</w:t>
      </w:r>
      <w:r>
        <w:rPr>
          <w:rFonts w:hint="eastAsia" w:ascii="仿宋" w:hAnsi="仿宋" w:eastAsia="仿宋" w:cs="仿宋"/>
          <w:b/>
          <w:bCs/>
          <w:color w:val="auto"/>
          <w:sz w:val="21"/>
          <w:szCs w:val="21"/>
          <w:highlight w:val="none"/>
        </w:rPr>
        <w:t>交</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 投标文件递交截止时间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Cs/>
          <w:color w:val="auto"/>
          <w:sz w:val="21"/>
          <w:szCs w:val="21"/>
          <w:highlight w:val="none"/>
          <w:u w:val="single"/>
          <w:lang w:eastAsia="zh-CN"/>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u w:val="single"/>
        </w:rPr>
        <w:t xml:space="preserve">年 </w:t>
      </w:r>
      <w:r>
        <w:rPr>
          <w:rFonts w:hint="eastAsia" w:ascii="仿宋" w:hAnsi="仿宋" w:eastAsia="仿宋" w:cs="仿宋"/>
          <w:bCs/>
          <w:color w:val="auto"/>
          <w:sz w:val="21"/>
          <w:szCs w:val="21"/>
          <w:highlight w:val="none"/>
          <w:u w:val="single"/>
          <w:lang w:val="en-US" w:eastAsia="zh-CN"/>
        </w:rPr>
        <w:t>11</w:t>
      </w:r>
      <w:r>
        <w:rPr>
          <w:rFonts w:hint="eastAsia" w:ascii="仿宋" w:hAnsi="仿宋" w:eastAsia="仿宋" w:cs="仿宋"/>
          <w:bCs/>
          <w:color w:val="auto"/>
          <w:sz w:val="21"/>
          <w:szCs w:val="21"/>
          <w:highlight w:val="none"/>
          <w:u w:val="single"/>
        </w:rPr>
        <w:t xml:space="preserve"> 月 </w:t>
      </w:r>
      <w:r>
        <w:rPr>
          <w:rFonts w:hint="eastAsia" w:ascii="仿宋" w:hAnsi="仿宋" w:eastAsia="仿宋" w:cs="仿宋"/>
          <w:bCs/>
          <w:color w:val="auto"/>
          <w:sz w:val="21"/>
          <w:szCs w:val="21"/>
          <w:highlight w:val="none"/>
          <w:u w:val="single"/>
          <w:lang w:val="en-US" w:eastAsia="zh-CN"/>
        </w:rPr>
        <w:t>6</w:t>
      </w:r>
      <w:r>
        <w:rPr>
          <w:rFonts w:hint="eastAsia" w:ascii="仿宋" w:hAnsi="仿宋" w:eastAsia="仿宋" w:cs="仿宋"/>
          <w:bCs/>
          <w:color w:val="auto"/>
          <w:sz w:val="21"/>
          <w:szCs w:val="21"/>
          <w:highlight w:val="none"/>
          <w:u w:val="single"/>
        </w:rPr>
        <w:t xml:space="preserve"> 日 </w:t>
      </w:r>
      <w:r>
        <w:rPr>
          <w:rFonts w:hint="eastAsia" w:ascii="仿宋" w:hAnsi="仿宋" w:eastAsia="仿宋" w:cs="仿宋"/>
          <w:bCs/>
          <w:color w:val="auto"/>
          <w:sz w:val="21"/>
          <w:szCs w:val="21"/>
          <w:highlight w:val="none"/>
          <w:u w:val="single"/>
          <w:lang w:val="en-US" w:eastAsia="zh-CN"/>
        </w:rPr>
        <w:t>9</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时</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 xml:space="preserve"> 分</w:t>
      </w:r>
      <w:r>
        <w:rPr>
          <w:rFonts w:hint="eastAsia" w:ascii="仿宋" w:hAnsi="仿宋" w:eastAsia="仿宋" w:cs="仿宋"/>
          <w:bCs/>
          <w:color w:val="auto"/>
          <w:sz w:val="21"/>
          <w:szCs w:val="21"/>
          <w:highlight w:val="none"/>
        </w:rPr>
        <w:t>（北京时间）</w:t>
      </w:r>
      <w:r>
        <w:rPr>
          <w:rFonts w:hint="eastAsia" w:ascii="仿宋" w:hAnsi="仿宋" w:eastAsia="仿宋" w:cs="仿宋"/>
          <w:bCs/>
          <w:color w:val="auto"/>
          <w:sz w:val="21"/>
          <w:szCs w:val="21"/>
          <w:highlight w:val="none"/>
          <w:lang w:eastAsia="zh-CN"/>
        </w:rPr>
        <w:t>。</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 递交地址</w:t>
      </w:r>
    </w:p>
    <w:p>
      <w:pPr>
        <w:pStyle w:val="15"/>
        <w:pageBreakBefore w:val="0"/>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加密上传到</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。并指派专人将密封的纸质投标文件正本一份副本一份密封送到</w:t>
      </w:r>
      <w:r>
        <w:rPr>
          <w:rFonts w:hint="eastAsia" w:ascii="仿宋" w:hAnsi="仿宋" w:eastAsia="仿宋" w:cs="仿宋"/>
          <w:color w:val="auto"/>
          <w:sz w:val="21"/>
          <w:szCs w:val="21"/>
          <w:highlight w:val="none"/>
          <w:u w:val="single"/>
          <w:lang w:val="en-US" w:eastAsia="zh-CN"/>
        </w:rPr>
        <w:t xml:space="preserve">   肇庆市交通集团有限公司二楼矿业会议室  </w:t>
      </w:r>
      <w:r>
        <w:rPr>
          <w:rFonts w:hint="eastAsia" w:ascii="仿宋" w:hAnsi="仿宋" w:eastAsia="仿宋" w:cs="仿宋"/>
          <w:color w:val="auto"/>
          <w:sz w:val="21"/>
          <w:szCs w:val="21"/>
          <w:highlight w:val="none"/>
          <w:u w:val="none"/>
          <w:lang w:val="en-US" w:eastAsia="zh-CN"/>
        </w:rPr>
        <w:t>。</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投标文件的开启</w:t>
      </w:r>
    </w:p>
    <w:p>
      <w:pPr>
        <w:pStyle w:val="24"/>
        <w:pageBreakBefore w:val="0"/>
        <w:kinsoku/>
        <w:wordWrap/>
        <w:overflowPunct/>
        <w:topLinePunct w:val="0"/>
        <w:bidi w:val="0"/>
        <w:spacing w:before="0" w:beforeLines="0" w:after="0" w:afterLines="0" w:line="360" w:lineRule="auto"/>
        <w:ind w:left="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投标文件开启时间：</w:t>
      </w:r>
      <w:r>
        <w:rPr>
          <w:rFonts w:hint="eastAsia" w:ascii="仿宋" w:hAnsi="仿宋" w:eastAsia="仿宋" w:cs="仿宋"/>
          <w:color w:val="auto"/>
          <w:spacing w:val="0"/>
          <w:kern w:val="2"/>
          <w:sz w:val="21"/>
          <w:szCs w:val="21"/>
          <w:highlight w:val="none"/>
          <w:u w:val="single"/>
          <w:lang w:val="en-US" w:eastAsia="zh-CN" w:bidi="ar-SA"/>
        </w:rPr>
        <w:t xml:space="preserve"> 2023 </w:t>
      </w:r>
      <w:r>
        <w:rPr>
          <w:rFonts w:hint="eastAsia" w:ascii="仿宋" w:hAnsi="仿宋" w:eastAsia="仿宋" w:cs="仿宋"/>
          <w:color w:val="auto"/>
          <w:spacing w:val="0"/>
          <w:kern w:val="2"/>
          <w:sz w:val="21"/>
          <w:szCs w:val="21"/>
          <w:highlight w:val="none"/>
          <w:lang w:val="en-US" w:eastAsia="zh-CN" w:bidi="ar-SA"/>
        </w:rPr>
        <w:t>年</w:t>
      </w:r>
      <w:r>
        <w:rPr>
          <w:rFonts w:hint="eastAsia" w:ascii="仿宋" w:hAnsi="仿宋" w:eastAsia="仿宋" w:cs="仿宋"/>
          <w:color w:val="auto"/>
          <w:spacing w:val="0"/>
          <w:kern w:val="2"/>
          <w:sz w:val="21"/>
          <w:szCs w:val="21"/>
          <w:highlight w:val="none"/>
          <w:u w:val="single"/>
          <w:lang w:val="en-US" w:eastAsia="zh-CN" w:bidi="ar-SA"/>
        </w:rPr>
        <w:t xml:space="preserve"> 11 </w:t>
      </w:r>
      <w:r>
        <w:rPr>
          <w:rFonts w:hint="eastAsia" w:ascii="仿宋" w:hAnsi="仿宋" w:eastAsia="仿宋" w:cs="仿宋"/>
          <w:color w:val="auto"/>
          <w:spacing w:val="0"/>
          <w:kern w:val="2"/>
          <w:sz w:val="21"/>
          <w:szCs w:val="21"/>
          <w:highlight w:val="none"/>
          <w:lang w:val="en-US" w:eastAsia="zh-CN" w:bidi="ar-SA"/>
        </w:rPr>
        <w:t>月</w:t>
      </w:r>
      <w:r>
        <w:rPr>
          <w:rFonts w:hint="eastAsia" w:ascii="仿宋" w:hAnsi="仿宋" w:eastAsia="仿宋" w:cs="仿宋"/>
          <w:color w:val="auto"/>
          <w:spacing w:val="0"/>
          <w:kern w:val="2"/>
          <w:sz w:val="21"/>
          <w:szCs w:val="21"/>
          <w:highlight w:val="none"/>
          <w:u w:val="single"/>
          <w:lang w:val="en-US" w:eastAsia="zh-CN" w:bidi="ar-SA"/>
        </w:rPr>
        <w:t xml:space="preserve"> 6 </w:t>
      </w:r>
      <w:r>
        <w:rPr>
          <w:rFonts w:hint="eastAsia" w:ascii="仿宋" w:hAnsi="仿宋" w:eastAsia="仿宋" w:cs="仿宋"/>
          <w:color w:val="auto"/>
          <w:spacing w:val="0"/>
          <w:kern w:val="2"/>
          <w:sz w:val="21"/>
          <w:szCs w:val="21"/>
          <w:highlight w:val="none"/>
          <w:lang w:val="en-US" w:eastAsia="zh-CN" w:bidi="ar-SA"/>
        </w:rPr>
        <w:t>日</w:t>
      </w:r>
      <w:r>
        <w:rPr>
          <w:rFonts w:hint="eastAsia" w:ascii="仿宋" w:hAnsi="仿宋" w:eastAsia="仿宋" w:cs="仿宋"/>
          <w:color w:val="auto"/>
          <w:spacing w:val="0"/>
          <w:kern w:val="2"/>
          <w:sz w:val="21"/>
          <w:szCs w:val="21"/>
          <w:highlight w:val="none"/>
          <w:u w:val="single"/>
          <w:lang w:val="en-US" w:eastAsia="zh-CN" w:bidi="ar-SA"/>
        </w:rPr>
        <w:t xml:space="preserve"> 9 </w:t>
      </w:r>
      <w:r>
        <w:rPr>
          <w:rFonts w:hint="eastAsia" w:ascii="仿宋" w:hAnsi="仿宋" w:eastAsia="仿宋" w:cs="仿宋"/>
          <w:color w:val="auto"/>
          <w:spacing w:val="0"/>
          <w:kern w:val="2"/>
          <w:sz w:val="21"/>
          <w:szCs w:val="21"/>
          <w:highlight w:val="none"/>
          <w:lang w:val="en-US" w:eastAsia="zh-CN" w:bidi="ar-SA"/>
        </w:rPr>
        <w:t>时</w:t>
      </w:r>
      <w:r>
        <w:rPr>
          <w:rFonts w:hint="eastAsia" w:ascii="仿宋" w:hAnsi="仿宋" w:eastAsia="仿宋" w:cs="仿宋"/>
          <w:color w:val="auto"/>
          <w:spacing w:val="0"/>
          <w:kern w:val="2"/>
          <w:sz w:val="21"/>
          <w:szCs w:val="21"/>
          <w:highlight w:val="none"/>
          <w:u w:val="single"/>
          <w:lang w:val="en-US" w:eastAsia="zh-CN" w:bidi="ar-SA"/>
        </w:rPr>
        <w:t xml:space="preserve"> 00 </w:t>
      </w:r>
      <w:r>
        <w:rPr>
          <w:rFonts w:hint="eastAsia" w:ascii="仿宋" w:hAnsi="仿宋" w:eastAsia="仿宋" w:cs="仿宋"/>
          <w:color w:val="auto"/>
          <w:spacing w:val="0"/>
          <w:kern w:val="2"/>
          <w:sz w:val="21"/>
          <w:szCs w:val="21"/>
          <w:highlight w:val="none"/>
          <w:lang w:val="en-US" w:eastAsia="zh-CN" w:bidi="ar-SA"/>
        </w:rPr>
        <w:t>分。地点：</w:t>
      </w:r>
      <w:r>
        <w:rPr>
          <w:rFonts w:hint="eastAsia" w:ascii="仿宋" w:hAnsi="仿宋" w:eastAsia="仿宋" w:cs="仿宋"/>
          <w:bCs/>
          <w:color w:val="auto"/>
          <w:sz w:val="21"/>
          <w:szCs w:val="21"/>
          <w:highlight w:val="none"/>
          <w:u w:val="single"/>
          <w:lang w:val="en-US" w:eastAsia="zh-CN"/>
        </w:rPr>
        <w:t>肇庆市交通集团有限公司二楼矿业会议室。</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其他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 登录</w:t>
      </w:r>
    </w:p>
    <w:p>
      <w:pPr>
        <w:pageBreakBefore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bCs/>
          <w:color w:val="auto"/>
          <w:sz w:val="21"/>
          <w:szCs w:val="21"/>
          <w:highlight w:val="none"/>
          <w:u w:val="none"/>
          <w:lang w:val="en-US" w:eastAsia="zh-CN"/>
        </w:rPr>
        <w:t>本项目通过</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平台提供投标人注册、登记获取招标文件、下载招标文件、递交投标文件、澄清说明和补正等功能。投标人须访问</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平台完成注册、交费、下载等有关操作，平台登录方式：</w:t>
      </w:r>
      <w:r>
        <w:rPr>
          <w:rFonts w:hint="eastAsia" w:ascii="仿宋" w:hAnsi="仿宋" w:eastAsia="仿宋" w:cs="仿宋"/>
          <w:bCs/>
          <w:color w:val="auto"/>
          <w:sz w:val="21"/>
          <w:szCs w:val="21"/>
          <w:highlight w:val="none"/>
          <w:u w:val="single"/>
          <w:lang w:val="en-US" w:eastAsia="zh-CN"/>
        </w:rPr>
        <w:t xml:space="preserve"> http://36.140.21.61:8900/ </w:t>
      </w:r>
      <w:r>
        <w:rPr>
          <w:rFonts w:hint="eastAsia" w:ascii="仿宋" w:hAnsi="仿宋" w:eastAsia="仿宋" w:cs="仿宋"/>
          <w:bCs/>
          <w:color w:val="auto"/>
          <w:sz w:val="21"/>
          <w:szCs w:val="21"/>
          <w:highlight w:val="none"/>
          <w:u w:val="none"/>
          <w:lang w:val="en-US" w:eastAsia="zh-CN"/>
        </w:rPr>
        <w:t>。</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7.2 投标文件递交注意事项</w:t>
      </w:r>
    </w:p>
    <w:p>
      <w:pPr>
        <w:pStyle w:val="15"/>
        <w:pageBreakBefore w:val="0"/>
        <w:kinsoku/>
        <w:wordWrap/>
        <w:overflowPunct/>
        <w:topLinePunct w:val="0"/>
        <w:bidi w:val="0"/>
        <w:spacing w:line="360" w:lineRule="auto"/>
        <w:ind w:left="0"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7.2.1 投标人请于投标文件递交截止时间前登录</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平台进入投标文件递交页面。投标人的电脑和网络环境应按照</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要求。电子投标文件逾期上传或上传未成功，招标人拒收投标文件（平台自动关闭上传端口）。参加多个标段投标的投标人必须分别按相应标段进行登记，并按对标段分别递交电子投标文件。招标人温馨提醒，为避免近响应截止时间网络拥堵，建议投标人适当提前上传时间。</w:t>
      </w:r>
    </w:p>
    <w:p>
      <w:pPr>
        <w:pageBreakBefore w:val="0"/>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rPr>
      </w:pPr>
      <w:r>
        <w:rPr>
          <w:rFonts w:hint="eastAsia" w:ascii="仿宋" w:hAnsi="仿宋" w:eastAsia="仿宋" w:cs="仿宋"/>
          <w:bCs/>
          <w:strike w:val="0"/>
          <w:dstrike w:val="0"/>
          <w:color w:val="auto"/>
          <w:sz w:val="21"/>
          <w:szCs w:val="21"/>
          <w:highlight w:val="none"/>
          <w:u w:val="none"/>
          <w:lang w:val="en-US" w:eastAsia="zh-CN"/>
        </w:rPr>
        <w:t>7.2.2 为防止解密失败，允许投标人递交密封的电子媒介作为备份文件。</w:t>
      </w:r>
    </w:p>
    <w:p>
      <w:pPr>
        <w:keepNext/>
        <w:keepLines/>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 xml:space="preserve">8. </w:t>
      </w:r>
      <w:r>
        <w:rPr>
          <w:rFonts w:hint="eastAsia" w:ascii="仿宋" w:hAnsi="仿宋" w:eastAsia="仿宋" w:cs="仿宋"/>
          <w:b/>
          <w:bCs w:val="0"/>
          <w:color w:val="auto"/>
          <w:sz w:val="21"/>
          <w:szCs w:val="21"/>
          <w:highlight w:val="none"/>
        </w:rPr>
        <w:t>质疑与投诉</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认为自己的权益受到损害的，可以在知道或者应知其权益受到损害之日起七个工作日内，向</w:t>
      </w: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sz w:val="21"/>
          <w:szCs w:val="21"/>
          <w:highlight w:val="none"/>
        </w:rPr>
        <w:t>提出质疑。质疑须以书面形式提出，列明质疑事项及相关依据，联系人、联系电话、传真、详细地址、邮编等基本信息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9. </w:t>
      </w:r>
      <w:r>
        <w:rPr>
          <w:rFonts w:hint="eastAsia" w:ascii="仿宋" w:hAnsi="仿宋" w:eastAsia="仿宋" w:cs="仿宋"/>
          <w:b/>
          <w:bCs/>
          <w:color w:val="auto"/>
          <w:sz w:val="21"/>
          <w:szCs w:val="21"/>
          <w:highlight w:val="none"/>
        </w:rPr>
        <w:t>联系</w:t>
      </w:r>
      <w:r>
        <w:rPr>
          <w:rFonts w:hint="eastAsia" w:ascii="仿宋" w:hAnsi="仿宋" w:eastAsia="仿宋" w:cs="仿宋"/>
          <w:b/>
          <w:bCs/>
          <w:color w:val="auto"/>
          <w:sz w:val="21"/>
          <w:szCs w:val="21"/>
          <w:highlight w:val="none"/>
          <w:lang w:val="en-US" w:eastAsia="zh-CN"/>
        </w:rPr>
        <w:t>方式</w:t>
      </w:r>
      <w:r>
        <w:rPr>
          <w:rFonts w:hint="eastAsia" w:ascii="仿宋" w:hAnsi="仿宋" w:eastAsia="仿宋" w:cs="仿宋"/>
          <w:b/>
          <w:bCs/>
          <w:color w:val="auto"/>
          <w:sz w:val="21"/>
          <w:szCs w:val="21"/>
          <w:highlight w:val="none"/>
        </w:rPr>
        <w:t>。</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kern w:val="0"/>
          <w:sz w:val="21"/>
          <w:szCs w:val="21"/>
          <w:highlight w:val="none"/>
        </w:rPr>
        <w:t>：肇庆</w:t>
      </w:r>
      <w:r>
        <w:rPr>
          <w:rFonts w:hint="eastAsia" w:ascii="仿宋" w:hAnsi="仿宋" w:eastAsia="仿宋" w:cs="仿宋"/>
          <w:color w:val="auto"/>
          <w:kern w:val="0"/>
          <w:sz w:val="21"/>
          <w:szCs w:val="21"/>
          <w:highlight w:val="none"/>
          <w:lang w:val="en-US" w:eastAsia="zh-CN"/>
        </w:rPr>
        <w:t>交投孔湾港务</w:t>
      </w:r>
      <w:r>
        <w:rPr>
          <w:rFonts w:hint="eastAsia" w:ascii="仿宋" w:hAnsi="仿宋" w:eastAsia="仿宋" w:cs="仿宋"/>
          <w:color w:val="auto"/>
          <w:kern w:val="0"/>
          <w:sz w:val="21"/>
          <w:szCs w:val="21"/>
          <w:highlight w:val="none"/>
        </w:rPr>
        <w:t>有限公司</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0"/>
          <w:sz w:val="21"/>
          <w:szCs w:val="21"/>
          <w:highlight w:val="none"/>
        </w:rPr>
        <w:t>地</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址：肇庆市端州区站前西路肇庆市交通集团</w:t>
      </w:r>
      <w:r>
        <w:rPr>
          <w:rFonts w:hint="eastAsia" w:ascii="仿宋" w:hAnsi="仿宋" w:eastAsia="仿宋" w:cs="仿宋"/>
          <w:color w:val="auto"/>
          <w:kern w:val="0"/>
          <w:sz w:val="21"/>
          <w:szCs w:val="21"/>
          <w:highlight w:val="none"/>
          <w:lang w:val="en-US" w:eastAsia="zh-CN"/>
        </w:rPr>
        <w:t>大楼二楼</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黄小姐</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0"/>
          <w:sz w:val="21"/>
          <w:szCs w:val="21"/>
          <w:highlight w:val="none"/>
        </w:rPr>
        <w:t>联系方式：</w:t>
      </w:r>
      <w:r>
        <w:rPr>
          <w:rFonts w:hint="eastAsia" w:ascii="仿宋" w:hAnsi="仿宋" w:eastAsia="仿宋" w:cs="仿宋"/>
          <w:color w:val="auto"/>
          <w:kern w:val="0"/>
          <w:sz w:val="21"/>
          <w:szCs w:val="21"/>
          <w:highlight w:val="none"/>
          <w:lang w:val="en-US" w:eastAsia="zh-CN"/>
        </w:rPr>
        <w:t>19129219494</w:t>
      </w:r>
    </w:p>
    <w:p>
      <w:pPr>
        <w:pageBreakBefore w:val="0"/>
        <w:kinsoku/>
        <w:wordWrap/>
        <w:overflowPunct/>
        <w:topLinePunct w:val="0"/>
        <w:bidi w:val="0"/>
        <w:adjustRightInd w:val="0"/>
        <w:snapToGrid w:val="0"/>
        <w:spacing w:line="360" w:lineRule="auto"/>
        <w:ind w:left="0" w:firstLine="420" w:firstLineChars="200"/>
        <w:textAlignment w:val="auto"/>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电子</w:t>
      </w:r>
      <w:r>
        <w:rPr>
          <w:rFonts w:hint="eastAsia" w:ascii="仿宋" w:hAnsi="仿宋" w:eastAsia="仿宋" w:cs="仿宋"/>
          <w:bCs/>
          <w:color w:val="auto"/>
          <w:sz w:val="21"/>
          <w:szCs w:val="21"/>
          <w:highlight w:val="none"/>
        </w:rPr>
        <w:t>邮箱：</w:t>
      </w:r>
      <w:r>
        <w:rPr>
          <w:rFonts w:hint="eastAsia" w:ascii="仿宋" w:hAnsi="仿宋" w:eastAsia="仿宋" w:cs="仿宋"/>
          <w:bCs/>
          <w:color w:val="auto"/>
          <w:sz w:val="21"/>
          <w:szCs w:val="21"/>
          <w:highlight w:val="none"/>
          <w:lang w:val="en-US" w:eastAsia="zh-CN"/>
        </w:rPr>
        <w:t>1464055870@qq.com</w:t>
      </w:r>
    </w:p>
    <w:p>
      <w:pPr>
        <w:pageBreakBefore w:val="0"/>
        <w:widowControl/>
        <w:kinsoku/>
        <w:wordWrap/>
        <w:overflowPunct/>
        <w:topLinePunct w:val="0"/>
        <w:bidi w:val="0"/>
        <w:adjustRightInd w:val="0"/>
        <w:snapToGrid w:val="0"/>
        <w:spacing w:line="360" w:lineRule="auto"/>
        <w:ind w:left="0"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single"/>
          <w:lang w:val="en-US" w:eastAsia="zh-CN"/>
        </w:rPr>
        <w:t>肇庆交投孔湾港务有限公司</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单位章）</w:t>
      </w:r>
    </w:p>
    <w:p>
      <w:pPr>
        <w:pStyle w:val="15"/>
        <w:pageBreakBefore w:val="0"/>
        <w:kinsoku/>
        <w:wordWrap/>
        <w:overflowPunct/>
        <w:topLinePunct w:val="0"/>
        <w:bidi w:val="0"/>
        <w:spacing w:line="360" w:lineRule="auto"/>
        <w:ind w:left="0" w:firstLine="420" w:firstLineChars="200"/>
        <w:jc w:val="righ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single"/>
          <w:lang w:val="en-US" w:eastAsia="zh-CN"/>
        </w:rPr>
        <w:t>2023年 10 月 30 日</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single"/>
        </w:rPr>
      </w:pP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u w:val="none"/>
          <w:lang w:val="en-US" w:eastAsia="zh-CN"/>
        </w:rPr>
        <w:sectPr>
          <w:footerReference r:id="rId4"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adjustRightInd w:val="0"/>
        <w:snapToGrid w:val="0"/>
        <w:spacing w:before="0" w:after="0" w:line="360" w:lineRule="auto"/>
        <w:jc w:val="center"/>
        <w:rPr>
          <w:rFonts w:hint="eastAsia" w:ascii="仿宋" w:hAnsi="仿宋" w:eastAsia="仿宋" w:cs="仿宋"/>
          <w:color w:val="auto"/>
          <w:sz w:val="30"/>
          <w:szCs w:val="30"/>
          <w:highlight w:val="none"/>
        </w:rPr>
      </w:pPr>
      <w:bookmarkStart w:id="3" w:name="_Toc12107_WPSOffice_Level1"/>
      <w:bookmarkStart w:id="4" w:name="_Toc9759"/>
      <w:bookmarkStart w:id="5" w:name="_Toc12527"/>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 xml:space="preserve">章 </w:t>
      </w:r>
      <w:bookmarkEnd w:id="3"/>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须知</w:t>
      </w:r>
      <w:bookmarkEnd w:id="4"/>
      <w:bookmarkEnd w:id="5"/>
    </w:p>
    <w:p>
      <w:pPr>
        <w:pStyle w:val="4"/>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投标人须知表</w:t>
      </w:r>
    </w:p>
    <w:tbl>
      <w:tblPr>
        <w:tblStyle w:val="16"/>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6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870" w:type="dxa"/>
            <w:tcBorders>
              <w:tl2br w:val="nil"/>
              <w:tr2bl w:val="nil"/>
            </w:tcBorders>
            <w:noWrap w:val="0"/>
            <w:vAlign w:val="center"/>
          </w:tcPr>
          <w:p>
            <w:pPr>
              <w:widowControl/>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条款号</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   目</w:t>
            </w:r>
          </w:p>
        </w:tc>
        <w:tc>
          <w:tcPr>
            <w:tcW w:w="6173"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招标人</w:t>
            </w:r>
          </w:p>
        </w:tc>
        <w:tc>
          <w:tcPr>
            <w:tcW w:w="6173" w:type="dxa"/>
            <w:tcBorders>
              <w:tl2br w:val="nil"/>
              <w:tr2bl w:val="nil"/>
            </w:tcBorders>
            <w:noWrap w:val="0"/>
            <w:vAlign w:val="center"/>
          </w:tcPr>
          <w:p>
            <w:pPr>
              <w:widowControl/>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val="en-US" w:eastAsia="zh-CN"/>
              </w:rPr>
              <w:t>名  称</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u w:val="single"/>
              </w:rPr>
              <w:t>肇庆</w:t>
            </w:r>
            <w:r>
              <w:rPr>
                <w:rFonts w:hint="eastAsia" w:ascii="仿宋" w:hAnsi="仿宋" w:eastAsia="仿宋" w:cs="仿宋"/>
                <w:color w:val="auto"/>
                <w:kern w:val="0"/>
                <w:sz w:val="21"/>
                <w:szCs w:val="21"/>
                <w:highlight w:val="none"/>
                <w:u w:val="single"/>
                <w:lang w:val="en-US" w:eastAsia="zh-CN"/>
              </w:rPr>
              <w:t>交投孔湾港务</w:t>
            </w:r>
            <w:r>
              <w:rPr>
                <w:rFonts w:hint="eastAsia" w:ascii="仿宋" w:hAnsi="仿宋" w:eastAsia="仿宋" w:cs="仿宋"/>
                <w:color w:val="auto"/>
                <w:kern w:val="0"/>
                <w:sz w:val="21"/>
                <w:szCs w:val="21"/>
                <w:highlight w:val="none"/>
                <w:u w:val="single"/>
              </w:rPr>
              <w:t>有限公司</w:t>
            </w:r>
          </w:p>
          <w:p>
            <w:pPr>
              <w:widowControl/>
              <w:jc w:val="left"/>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u w:val="single"/>
              </w:rPr>
              <w:t>肇庆市端州区站前西路肇庆市交通集团</w:t>
            </w:r>
            <w:r>
              <w:rPr>
                <w:rFonts w:hint="eastAsia" w:ascii="仿宋" w:hAnsi="仿宋" w:eastAsia="仿宋" w:cs="仿宋"/>
                <w:color w:val="auto"/>
                <w:kern w:val="0"/>
                <w:sz w:val="21"/>
                <w:szCs w:val="21"/>
                <w:highlight w:val="none"/>
                <w:u w:val="single"/>
                <w:lang w:val="en-US" w:eastAsia="zh-CN"/>
              </w:rPr>
              <w:t>大楼二楼</w:t>
            </w:r>
          </w:p>
          <w:p>
            <w:pPr>
              <w:widowControl/>
              <w:jc w:val="left"/>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t>联系人：</w:t>
            </w:r>
            <w:r>
              <w:rPr>
                <w:rFonts w:hint="eastAsia" w:ascii="仿宋" w:hAnsi="仿宋" w:eastAsia="仿宋" w:cs="仿宋"/>
                <w:color w:val="auto"/>
                <w:kern w:val="0"/>
                <w:sz w:val="21"/>
                <w:szCs w:val="21"/>
                <w:highlight w:val="none"/>
                <w:u w:val="single"/>
                <w:lang w:val="en-US" w:eastAsia="zh-CN"/>
              </w:rPr>
              <w:t>黄小姐</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电  话：</w:t>
            </w:r>
            <w:r>
              <w:rPr>
                <w:rFonts w:hint="eastAsia" w:ascii="仿宋" w:hAnsi="仿宋" w:eastAsia="仿宋" w:cs="仿宋"/>
                <w:color w:val="auto"/>
                <w:kern w:val="0"/>
                <w:sz w:val="21"/>
                <w:szCs w:val="21"/>
                <w:highlight w:val="none"/>
                <w:u w:val="single"/>
                <w:lang w:val="en-US" w:eastAsia="zh-CN"/>
              </w:rPr>
              <w:t>19129219494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还要满足的其它资格条件</w:t>
            </w:r>
          </w:p>
        </w:tc>
        <w:tc>
          <w:tcPr>
            <w:tcW w:w="6173" w:type="dxa"/>
            <w:tcBorders>
              <w:tl2br w:val="nil"/>
              <w:tr2bl w:val="nil"/>
            </w:tcBorders>
            <w:noWrap w:val="0"/>
            <w:vAlign w:val="center"/>
          </w:tcPr>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3</w:t>
            </w:r>
          </w:p>
        </w:tc>
        <w:tc>
          <w:tcPr>
            <w:tcW w:w="1562" w:type="dxa"/>
            <w:tcBorders>
              <w:tl2br w:val="nil"/>
              <w:tr2bl w:val="nil"/>
            </w:tcBorders>
            <w:noWrap w:val="0"/>
            <w:vAlign w:val="center"/>
          </w:tcPr>
          <w:p>
            <w:pPr>
              <w:tabs>
                <w:tab w:val="left" w:pos="1425"/>
              </w:tabs>
              <w:jc w:val="center"/>
              <w:rPr>
                <w:rFonts w:hint="eastAsia" w:ascii="仿宋" w:hAnsi="仿宋" w:eastAsia="仿宋" w:cs="仿宋"/>
                <w:b/>
                <w:color w:val="auto"/>
                <w:kern w:val="0"/>
                <w:sz w:val="21"/>
                <w:szCs w:val="21"/>
                <w:highlight w:val="none"/>
                <w:lang w:eastAsia="zh-CN"/>
              </w:rPr>
            </w:pPr>
            <w:r>
              <w:rPr>
                <w:rFonts w:hint="eastAsia" w:ascii="仿宋" w:hAnsi="仿宋" w:eastAsia="仿宋" w:cs="仿宋"/>
                <w:bCs/>
                <w:color w:val="auto"/>
                <w:kern w:val="0"/>
                <w:sz w:val="21"/>
                <w:szCs w:val="21"/>
                <w:highlight w:val="none"/>
              </w:rPr>
              <w:t>是否允许联合体参加</w:t>
            </w:r>
            <w:r>
              <w:rPr>
                <w:rFonts w:hint="eastAsia" w:ascii="仿宋" w:hAnsi="仿宋" w:eastAsia="仿宋" w:cs="仿宋"/>
                <w:bCs/>
                <w:color w:val="auto"/>
                <w:kern w:val="0"/>
                <w:sz w:val="21"/>
                <w:szCs w:val="21"/>
                <w:highlight w:val="none"/>
                <w:lang w:eastAsia="zh-CN"/>
              </w:rPr>
              <w:t>招标活动</w:t>
            </w:r>
          </w:p>
        </w:tc>
        <w:tc>
          <w:tcPr>
            <w:tcW w:w="6173" w:type="dxa"/>
            <w:tcBorders>
              <w:tl2br w:val="nil"/>
              <w:tr2bl w:val="nil"/>
            </w:tcBorders>
            <w:noWrap w:val="0"/>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是</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6</w:t>
            </w:r>
          </w:p>
        </w:tc>
        <w:tc>
          <w:tcPr>
            <w:tcW w:w="1562" w:type="dxa"/>
            <w:tcBorders>
              <w:tl2br w:val="nil"/>
              <w:tr2bl w:val="nil"/>
            </w:tcBorders>
            <w:noWrap w:val="0"/>
            <w:vAlign w:val="center"/>
          </w:tcPr>
          <w:p>
            <w:pPr>
              <w:tabs>
                <w:tab w:val="left" w:pos="1425"/>
              </w:tabs>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联合体的其他资格要求</w:t>
            </w:r>
          </w:p>
        </w:tc>
        <w:tc>
          <w:tcPr>
            <w:tcW w:w="6173" w:type="dxa"/>
            <w:tcBorders>
              <w:tl2br w:val="nil"/>
              <w:tr2bl w:val="nil"/>
            </w:tcBorders>
            <w:noWrap w:val="0"/>
            <w:vAlign w:val="center"/>
          </w:tcPr>
          <w:p>
            <w:pP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1562" w:type="dxa"/>
            <w:tcBorders>
              <w:tl2br w:val="nil"/>
              <w:tr2bl w:val="nil"/>
            </w:tcBorders>
            <w:noWrap w:val="0"/>
            <w:vAlign w:val="center"/>
          </w:tcPr>
          <w:p>
            <w:pPr>
              <w:shd w:val="clear" w:color="auto" w:fill="FFFFFF"/>
              <w:jc w:val="center"/>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最高限价</w:t>
            </w:r>
          </w:p>
        </w:tc>
        <w:tc>
          <w:tcPr>
            <w:tcW w:w="6173" w:type="dxa"/>
            <w:tcBorders>
              <w:tl2br w:val="nil"/>
              <w:tr2bl w:val="nil"/>
            </w:tcBorders>
            <w:noWrap w:val="0"/>
            <w:vAlign w:val="center"/>
          </w:tcPr>
          <w:p>
            <w:pPr>
              <w:rPr>
                <w:rFonts w:hint="eastAsia" w:ascii="仿宋" w:hAnsi="仿宋" w:eastAsia="仿宋" w:cs="仿宋"/>
                <w:bCs/>
                <w:color w:val="auto"/>
                <w:kern w:val="0"/>
                <w:sz w:val="21"/>
                <w:szCs w:val="21"/>
                <w:highlight w:val="none"/>
                <w:lang w:val="en-US"/>
              </w:rPr>
            </w:pPr>
            <w:r>
              <w:rPr>
                <w:rFonts w:hint="eastAsia" w:ascii="仿宋" w:hAnsi="仿宋" w:eastAsia="仿宋" w:cs="仿宋"/>
                <w:bCs/>
                <w:color w:val="auto"/>
                <w:kern w:val="0"/>
                <w:sz w:val="21"/>
                <w:szCs w:val="21"/>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现场考察、答疑会</w:t>
            </w:r>
          </w:p>
        </w:tc>
        <w:tc>
          <w:tcPr>
            <w:tcW w:w="6173" w:type="dxa"/>
            <w:tcBorders>
              <w:tl2br w:val="nil"/>
              <w:tr2bl w:val="nil"/>
            </w:tcBorders>
            <w:noWrap w:val="0"/>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rPr>
              <w:t>不组织</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组织，时  间：</w:t>
            </w:r>
            <w:r>
              <w:rPr>
                <w:rFonts w:hint="eastAsia" w:ascii="仿宋" w:hAnsi="仿宋" w:eastAsia="仿宋" w:cs="仿宋"/>
                <w:bCs/>
                <w:color w:val="auto"/>
                <w:kern w:val="0"/>
                <w:sz w:val="21"/>
                <w:szCs w:val="21"/>
                <w:highlight w:val="none"/>
                <w:u w:val="single"/>
              </w:rPr>
              <w:t xml:space="preserve">         </w:t>
            </w:r>
          </w:p>
          <w:p>
            <w:pPr>
              <w:widowControl/>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点：</w:t>
            </w:r>
            <w:r>
              <w:rPr>
                <w:rFonts w:hint="eastAsia" w:ascii="仿宋" w:hAnsi="仿宋" w:eastAsia="仿宋" w:cs="仿宋"/>
                <w:bCs/>
                <w:color w:val="auto"/>
                <w:kern w:val="0"/>
                <w:sz w:val="21"/>
                <w:szCs w:val="21"/>
                <w:highlight w:val="none"/>
                <w:u w:val="single"/>
              </w:rPr>
              <w:t xml:space="preserve">         </w:t>
            </w:r>
          </w:p>
          <w:p>
            <w:pPr>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联系人：</w:t>
            </w:r>
            <w:r>
              <w:rPr>
                <w:rFonts w:hint="eastAsia" w:ascii="仿宋" w:hAnsi="仿宋" w:eastAsia="仿宋" w:cs="仿宋"/>
                <w:bCs/>
                <w:color w:val="auto"/>
                <w:kern w:val="0"/>
                <w:sz w:val="21"/>
                <w:szCs w:val="21"/>
                <w:highlight w:val="none"/>
                <w:u w:val="single"/>
              </w:rPr>
              <w:t xml:space="preserve">         </w:t>
            </w:r>
          </w:p>
          <w:p>
            <w:pPr>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r>
              <w:rPr>
                <w:rFonts w:hint="eastAsia" w:ascii="仿宋" w:hAnsi="仿宋" w:eastAsia="仿宋" w:cs="仿宋"/>
                <w:bCs/>
                <w:color w:val="auto"/>
                <w:kern w:val="0"/>
                <w:sz w:val="21"/>
                <w:szCs w:val="21"/>
                <w:highlight w:val="none"/>
                <w:u w:val="single"/>
              </w:rPr>
              <w:t xml:space="preserve">         </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组织，</w:t>
            </w:r>
            <w:r>
              <w:rPr>
                <w:rFonts w:hint="eastAsia" w:ascii="仿宋" w:hAnsi="仿宋" w:eastAsia="仿宋" w:cs="仿宋"/>
                <w:color w:val="auto"/>
                <w:kern w:val="0"/>
                <w:sz w:val="21"/>
                <w:szCs w:val="21"/>
                <w:highlight w:val="none"/>
                <w:lang w:val="en-US" w:eastAsia="zh-CN"/>
              </w:rPr>
              <w:t>招标文件</w:t>
            </w:r>
            <w:r>
              <w:rPr>
                <w:rFonts w:hint="eastAsia" w:ascii="仿宋" w:hAnsi="仿宋" w:eastAsia="仿宋" w:cs="仿宋"/>
                <w:color w:val="auto"/>
                <w:kern w:val="0"/>
                <w:sz w:val="21"/>
                <w:szCs w:val="21"/>
                <w:highlight w:val="none"/>
              </w:rPr>
              <w:t>提供期限截止后以书面形式通知。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7.1.1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分包</w:t>
            </w:r>
          </w:p>
        </w:tc>
        <w:tc>
          <w:tcPr>
            <w:tcW w:w="6173" w:type="dxa"/>
            <w:tcBorders>
              <w:tl2br w:val="nil"/>
              <w:tr2bl w:val="nil"/>
            </w:tcBorders>
            <w:noWrap w:val="0"/>
            <w:vAlign w:val="center"/>
          </w:tcPr>
          <w:p>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lang w:val="en-US" w:eastAsia="zh-CN"/>
              </w:rPr>
              <w:t>不允许</w:t>
            </w:r>
          </w:p>
          <w:p>
            <w:pPr>
              <w:pStyle w:val="24"/>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允许，</w:t>
            </w:r>
          </w:p>
          <w:p>
            <w:pPr>
              <w:pStyle w:val="25"/>
              <w:numPr>
                <w:ilvl w:val="0"/>
                <w:numId w:val="3"/>
              </w:numPr>
              <w:ind w:left="21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分包内容：</w:t>
            </w:r>
          </w:p>
          <w:p>
            <w:pPr>
              <w:pStyle w:val="25"/>
              <w:numPr>
                <w:ilvl w:val="0"/>
                <w:numId w:val="3"/>
              </w:numPr>
              <w:ind w:left="21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分包资质要求：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投标保证金</w:t>
            </w:r>
          </w:p>
        </w:tc>
        <w:tc>
          <w:tcPr>
            <w:tcW w:w="6173" w:type="dxa"/>
            <w:tcBorders>
              <w:tl2br w:val="nil"/>
              <w:tr2bl w:val="nil"/>
            </w:tcBorders>
            <w:noWrap w:val="0"/>
            <w:vAlign w:val="center"/>
          </w:tcPr>
          <w:p>
            <w:pPr>
              <w:pStyle w:val="5"/>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是否要求投标人递交投标保证金</w:t>
            </w:r>
          </w:p>
          <w:p>
            <w:pP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lang w:val="en-US" w:eastAsia="zh-CN"/>
              </w:rPr>
              <w:t>否</w:t>
            </w:r>
          </w:p>
          <w:p>
            <w:pPr>
              <w:pStyle w:val="5"/>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val="en-US" w:eastAsia="zh-CN"/>
              </w:rPr>
              <w:t>是，并满足下列要求（投标人参加多个标段投标的，应按所投标段分别递交投标保证金）：</w:t>
            </w:r>
          </w:p>
          <w:p>
            <w:pPr>
              <w:pStyle w:val="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kern w:val="0"/>
                <w:sz w:val="21"/>
                <w:szCs w:val="21"/>
                <w:highlight w:val="none"/>
              </w:rPr>
              <w:t>金额：</w:t>
            </w:r>
            <w:r>
              <w:rPr>
                <w:rFonts w:hint="eastAsia" w:ascii="仿宋" w:hAnsi="仿宋" w:eastAsia="仿宋" w:cs="仿宋"/>
                <w:color w:val="auto"/>
                <w:kern w:val="0"/>
                <w:sz w:val="21"/>
                <w:szCs w:val="21"/>
                <w:highlight w:val="none"/>
                <w:u w:val="none"/>
                <w:lang w:val="en-US" w:eastAsia="zh-CN"/>
              </w:rPr>
              <w:t>人民币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元</w:t>
            </w:r>
          </w:p>
          <w:p>
            <w:pPr>
              <w:pStyle w:val="5"/>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sz w:val="21"/>
                <w:szCs w:val="21"/>
                <w:highlight w:val="none"/>
              </w:rPr>
              <w:t>到账时间：</w:t>
            </w:r>
            <w:r>
              <w:rPr>
                <w:rFonts w:hint="eastAsia" w:ascii="仿宋" w:hAnsi="仿宋" w:eastAsia="仿宋" w:cs="仿宋"/>
                <w:color w:val="auto"/>
                <w:sz w:val="21"/>
                <w:szCs w:val="21"/>
                <w:highlight w:val="none"/>
                <w:u w:val="single"/>
              </w:rPr>
              <w:t>递交</w:t>
            </w:r>
            <w:r>
              <w:rPr>
                <w:rFonts w:hint="eastAsia" w:ascii="仿宋" w:hAnsi="仿宋" w:eastAsia="仿宋" w:cs="仿宋"/>
                <w:color w:val="auto"/>
                <w:sz w:val="21"/>
                <w:szCs w:val="21"/>
                <w:highlight w:val="none"/>
                <w:u w:val="single"/>
                <w:lang w:eastAsia="zh-CN"/>
              </w:rPr>
              <w:t>投标文件</w:t>
            </w:r>
            <w:r>
              <w:rPr>
                <w:rFonts w:hint="eastAsia" w:ascii="仿宋" w:hAnsi="仿宋" w:eastAsia="仿宋" w:cs="仿宋"/>
                <w:color w:val="auto"/>
                <w:sz w:val="21"/>
                <w:szCs w:val="21"/>
                <w:highlight w:val="none"/>
                <w:u w:val="single"/>
              </w:rPr>
              <w:t>截止时间前</w:t>
            </w:r>
          </w:p>
          <w:p>
            <w:pPr>
              <w:pStyle w:val="5"/>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sz w:val="21"/>
                <w:szCs w:val="21"/>
                <w:highlight w:val="none"/>
              </w:rPr>
              <w:t>缴纳方式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现金（</w:t>
            </w:r>
            <w:r>
              <w:rPr>
                <w:rFonts w:hint="eastAsia" w:ascii="仿宋" w:hAnsi="仿宋" w:eastAsia="仿宋" w:cs="仿宋"/>
                <w:color w:val="auto"/>
                <w:sz w:val="21"/>
                <w:szCs w:val="21"/>
                <w:highlight w:val="none"/>
              </w:rPr>
              <w:t>支票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或银行</w:t>
            </w:r>
            <w:r>
              <w:rPr>
                <w:rFonts w:hint="eastAsia" w:ascii="仿宋" w:hAnsi="仿宋" w:eastAsia="仿宋" w:cs="仿宋"/>
                <w:color w:val="auto"/>
                <w:sz w:val="21"/>
                <w:szCs w:val="21"/>
                <w:highlight w:val="none"/>
              </w:rPr>
              <w:t>保函</w:t>
            </w:r>
            <w:r>
              <w:rPr>
                <w:rFonts w:hint="eastAsia" w:ascii="仿宋" w:hAnsi="仿宋" w:eastAsia="仿宋" w:cs="仿宋"/>
                <w:color w:val="auto"/>
                <w:sz w:val="21"/>
                <w:szCs w:val="21"/>
                <w:highlight w:val="none"/>
                <w:lang w:val="en-US" w:eastAsia="zh-CN"/>
              </w:rPr>
              <w:t>或担保机构的保函或保险机构的保单。</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若采用现金或支票时，必须从投标人的基本账户开户银行一次性汇入以下账号：</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保证金收款人银行信息</w:t>
            </w:r>
            <w:r>
              <w:rPr>
                <w:rFonts w:hint="eastAsia" w:ascii="仿宋" w:hAnsi="仿宋" w:eastAsia="仿宋" w:cs="仿宋"/>
                <w:color w:val="auto"/>
                <w:sz w:val="21"/>
                <w:szCs w:val="21"/>
                <w:highlight w:val="none"/>
                <w:lang w:val="en-US" w:eastAsia="zh-CN"/>
              </w:rPr>
              <w:t>如下</w:t>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开 户 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开 户 行：</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pStyle w:val="24"/>
              <w:ind w:left="0" w:leftChars="0" w:firstLine="0" w:firstLineChars="0"/>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pacing w:val="0"/>
                <w:kern w:val="2"/>
                <w:sz w:val="21"/>
                <w:szCs w:val="21"/>
                <w:highlight w:val="none"/>
                <w:lang w:val="en-US" w:eastAsia="zh-CN" w:bidi="ar-SA"/>
              </w:rPr>
              <w:t>若采用银行保函时，出具保函的银行级别：必须由投标人的基本账户开户银行开具，若基本账户开户银行不能开具，可由上级银行开具并附相关证明材料，否则视为无效。其扫描件应装订在投标文件中，</w:t>
            </w:r>
            <w:r>
              <w:rPr>
                <w:rFonts w:hint="eastAsia" w:ascii="仿宋" w:hAnsi="仿宋" w:eastAsia="仿宋" w:cs="仿宋"/>
                <w:b/>
                <w:bCs/>
                <w:color w:val="auto"/>
                <w:spacing w:val="0"/>
                <w:kern w:val="2"/>
                <w:sz w:val="21"/>
                <w:szCs w:val="21"/>
                <w:highlight w:val="none"/>
                <w:lang w:val="en-US" w:eastAsia="zh-CN" w:bidi="ar-SA"/>
              </w:rPr>
              <w:t>原件应派专人在递交投标文件截止时间前送达并密封提交给招标人</w:t>
            </w:r>
            <w:r>
              <w:rPr>
                <w:rFonts w:hint="eastAsia" w:ascii="仿宋" w:hAnsi="仿宋" w:eastAsia="仿宋" w:cs="仿宋"/>
                <w:color w:val="auto"/>
                <w:spacing w:val="0"/>
                <w:kern w:val="2"/>
                <w:sz w:val="21"/>
                <w:szCs w:val="21"/>
                <w:highlight w:val="none"/>
                <w:lang w:val="en-US" w:eastAsia="zh-CN" w:bidi="ar-SA"/>
              </w:rPr>
              <w:t>。</w:t>
            </w:r>
          </w:p>
          <w:p>
            <w:pPr>
              <w:pStyle w:val="25"/>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pacing w:val="0"/>
                <w:kern w:val="2"/>
                <w:sz w:val="21"/>
                <w:szCs w:val="21"/>
                <w:highlight w:val="none"/>
                <w:lang w:val="en-US" w:eastAsia="zh-CN" w:bidi="ar-SA"/>
              </w:rPr>
              <w:t>若采用</w:t>
            </w:r>
            <w:r>
              <w:rPr>
                <w:rFonts w:hint="eastAsia" w:ascii="仿宋" w:hAnsi="仿宋" w:eastAsia="仿宋" w:cs="仿宋"/>
                <w:color w:val="auto"/>
                <w:sz w:val="21"/>
                <w:szCs w:val="21"/>
                <w:highlight w:val="none"/>
                <w:lang w:val="en-US" w:eastAsia="zh-CN"/>
              </w:rPr>
              <w:t>担保机构的保函或保险机构的保单</w:t>
            </w:r>
            <w:r>
              <w:rPr>
                <w:rFonts w:hint="eastAsia" w:ascii="仿宋" w:hAnsi="仿宋" w:eastAsia="仿宋" w:cs="仿宋"/>
                <w:color w:val="auto"/>
                <w:spacing w:val="0"/>
                <w:kern w:val="2"/>
                <w:sz w:val="21"/>
                <w:szCs w:val="21"/>
                <w:highlight w:val="none"/>
                <w:lang w:val="en-US" w:eastAsia="zh-CN" w:bidi="ar-SA"/>
              </w:rPr>
              <w:t>时，其扫描件应装订在投标文件中，</w:t>
            </w:r>
            <w:r>
              <w:rPr>
                <w:rFonts w:hint="eastAsia" w:ascii="仿宋" w:hAnsi="仿宋" w:eastAsia="仿宋" w:cs="仿宋"/>
                <w:b/>
                <w:bCs/>
                <w:color w:val="auto"/>
                <w:spacing w:val="0"/>
                <w:kern w:val="2"/>
                <w:sz w:val="21"/>
                <w:szCs w:val="21"/>
                <w:highlight w:val="none"/>
                <w:lang w:val="en-US" w:eastAsia="zh-CN" w:bidi="ar-SA"/>
              </w:rPr>
              <w:t>原件应派专人在递交投标文件截止时间前送达并密封提交给招标人</w:t>
            </w:r>
            <w:r>
              <w:rPr>
                <w:rFonts w:hint="eastAsia" w:ascii="仿宋" w:hAnsi="仿宋" w:eastAsia="仿宋" w:cs="仿宋"/>
                <w:color w:val="auto"/>
                <w:spacing w:val="0"/>
                <w:kern w:val="2"/>
                <w:sz w:val="21"/>
                <w:szCs w:val="21"/>
                <w:highlight w:val="none"/>
                <w:lang w:val="en-US" w:eastAsia="zh-CN" w:bidi="ar-SA"/>
              </w:rPr>
              <w:t>。</w:t>
            </w:r>
          </w:p>
          <w:p>
            <w:pP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其它：</w:t>
            </w:r>
            <w:r>
              <w:rPr>
                <w:rFonts w:hint="eastAsia" w:ascii="仿宋" w:hAnsi="仿宋" w:eastAsia="仿宋" w:cs="仿宋"/>
                <w:color w:val="auto"/>
                <w:sz w:val="21"/>
                <w:szCs w:val="21"/>
                <w:highlight w:val="none"/>
                <w:u w:val="single"/>
              </w:rPr>
              <w:t xml:space="preserve">                       </w:t>
            </w:r>
          </w:p>
          <w:p>
            <w:pPr>
              <w:rPr>
                <w:rFonts w:hint="eastAsia" w:ascii="仿宋" w:hAnsi="仿宋" w:eastAsia="仿宋" w:cs="仿宋"/>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投标有效期</w:t>
            </w:r>
          </w:p>
        </w:tc>
        <w:tc>
          <w:tcPr>
            <w:tcW w:w="6173" w:type="dxa"/>
            <w:tcBorders>
              <w:tl2br w:val="nil"/>
              <w:tr2bl w:val="nil"/>
            </w:tcBorders>
            <w:noWrap w:val="0"/>
            <w:vAlign w:val="center"/>
          </w:tcPr>
          <w:p>
            <w:pPr>
              <w:pStyle w:val="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90  </w:t>
            </w:r>
            <w:r>
              <w:rPr>
                <w:rFonts w:hint="eastAsia" w:ascii="仿宋" w:hAnsi="仿宋" w:eastAsia="仿宋" w:cs="仿宋"/>
                <w:color w:val="auto"/>
                <w:kern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份数</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本项目应当在线提交电子投标文件。</w:t>
            </w:r>
            <w:r>
              <w:rPr>
                <w:rFonts w:hint="eastAsia" w:ascii="仿宋_GB2312" w:hAnsi="仿宋_GB2312" w:eastAsia="仿宋_GB2312" w:cs="仿宋_GB2312"/>
                <w:b w:val="0"/>
                <w:bCs w:val="0"/>
                <w:color w:val="auto"/>
                <w:sz w:val="21"/>
                <w:szCs w:val="21"/>
                <w:highlight w:val="none"/>
                <w:u w:val="single"/>
                <w:lang w:val="en-US" w:eastAsia="zh-CN"/>
              </w:rPr>
              <w:t>同时中标人在合同签订后线下提交纸质投标文件一正一副，投标文件送达应在投标文件递交截止前密封递交。</w:t>
            </w:r>
            <w:r>
              <w:rPr>
                <w:rFonts w:hint="eastAsia" w:ascii="仿宋_GB2312" w:hAnsi="仿宋_GB2312" w:eastAsia="仿宋_GB2312" w:cs="仿宋_GB2312"/>
                <w:color w:val="auto"/>
                <w:sz w:val="21"/>
                <w:szCs w:val="21"/>
                <w:highlight w:val="none"/>
                <w:lang w:val="en-US" w:eastAsia="zh-CN"/>
              </w:rPr>
              <w:t>递交地点：肇庆市交通集团有限公司二楼矿业会议室（地址：肇庆市端州区站前西路交通大楼内）。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截止时间、地点：</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详见</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，以</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投标文件开启会</w:t>
            </w:r>
            <w:r>
              <w:rPr>
                <w:rFonts w:hint="eastAsia" w:ascii="仿宋" w:hAnsi="仿宋" w:eastAsia="仿宋" w:cs="仿宋"/>
                <w:color w:val="auto"/>
                <w:sz w:val="21"/>
                <w:szCs w:val="21"/>
                <w:highlight w:val="none"/>
              </w:rPr>
              <w:t>时间、地点：</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，以</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.2</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评审</w:t>
            </w:r>
            <w:r>
              <w:rPr>
                <w:rFonts w:hint="eastAsia" w:ascii="仿宋" w:hAnsi="仿宋" w:eastAsia="仿宋" w:cs="仿宋"/>
                <w:color w:val="auto"/>
                <w:sz w:val="21"/>
                <w:szCs w:val="21"/>
                <w:highlight w:val="none"/>
              </w:rPr>
              <w:t>小组组成</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评审小组由招标人代表</w:t>
            </w:r>
            <w:r>
              <w:rPr>
                <w:rFonts w:hint="eastAsia" w:ascii="仿宋" w:hAnsi="仿宋" w:eastAsia="仿宋" w:cs="仿宋"/>
                <w:color w:val="auto"/>
                <w:kern w:val="2"/>
                <w:sz w:val="21"/>
                <w:szCs w:val="21"/>
                <w:highlight w:val="none"/>
                <w:u w:val="single"/>
                <w:lang w:val="en-US" w:eastAsia="zh-CN" w:bidi="ar-SA"/>
              </w:rPr>
              <w:t xml:space="preserve"> 1 </w:t>
            </w:r>
            <w:r>
              <w:rPr>
                <w:rFonts w:hint="eastAsia" w:ascii="仿宋" w:hAnsi="仿宋" w:eastAsia="仿宋" w:cs="仿宋"/>
                <w:color w:val="auto"/>
                <w:kern w:val="2"/>
                <w:sz w:val="21"/>
                <w:szCs w:val="21"/>
                <w:highlight w:val="none"/>
                <w:lang w:val="en-US" w:eastAsia="zh-CN" w:bidi="ar-SA"/>
              </w:rPr>
              <w:t>人，评审专家</w:t>
            </w:r>
            <w:r>
              <w:rPr>
                <w:rFonts w:hint="eastAsia" w:ascii="仿宋" w:hAnsi="仿宋" w:eastAsia="仿宋" w:cs="仿宋"/>
                <w:color w:val="auto"/>
                <w:kern w:val="2"/>
                <w:sz w:val="21"/>
                <w:szCs w:val="21"/>
                <w:highlight w:val="none"/>
                <w:u w:val="single"/>
                <w:lang w:val="en-US" w:eastAsia="zh-CN" w:bidi="ar-SA"/>
              </w:rPr>
              <w:t xml:space="preserve"> 4 </w:t>
            </w:r>
            <w:r>
              <w:rPr>
                <w:rFonts w:hint="eastAsia" w:ascii="仿宋" w:hAnsi="仿宋" w:eastAsia="仿宋" w:cs="仿宋"/>
                <w:color w:val="auto"/>
                <w:kern w:val="2"/>
                <w:sz w:val="21"/>
                <w:szCs w:val="21"/>
                <w:highlight w:val="none"/>
                <w:lang w:val="en-US" w:eastAsia="zh-CN" w:bidi="ar-SA"/>
              </w:rPr>
              <w:t>人，共</w:t>
            </w:r>
            <w:r>
              <w:rPr>
                <w:rFonts w:hint="eastAsia" w:ascii="仿宋" w:hAnsi="仿宋" w:eastAsia="仿宋" w:cs="仿宋"/>
                <w:color w:val="auto"/>
                <w:kern w:val="2"/>
                <w:sz w:val="21"/>
                <w:szCs w:val="21"/>
                <w:highlight w:val="none"/>
                <w:u w:val="single"/>
                <w:lang w:val="en-US" w:eastAsia="zh-CN" w:bidi="ar-SA"/>
              </w:rPr>
              <w:t xml:space="preserve"> 5 </w:t>
            </w:r>
            <w:r>
              <w:rPr>
                <w:rFonts w:hint="eastAsia" w:ascii="仿宋" w:hAnsi="仿宋" w:eastAsia="仿宋" w:cs="仿宋"/>
                <w:color w:val="auto"/>
                <w:kern w:val="2"/>
                <w:sz w:val="21"/>
                <w:szCs w:val="21"/>
                <w:highlight w:val="none"/>
                <w:lang w:val="en-US" w:eastAsia="zh-CN" w:bidi="ar-SA"/>
              </w:rPr>
              <w:t>人组成。</w:t>
            </w:r>
          </w:p>
          <w:p>
            <w:pPr>
              <w:pStyle w:val="15"/>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评审专家从肇庆市交通集团有限公司</w:t>
            </w:r>
            <w:r>
              <w:rPr>
                <w:rFonts w:hint="eastAsia" w:ascii="仿宋" w:hAnsi="仿宋" w:eastAsia="仿宋" w:cs="仿宋"/>
                <w:b/>
                <w:bCs/>
                <w:i w:val="0"/>
                <w:iCs w:val="0"/>
                <w:color w:val="auto"/>
                <w:sz w:val="21"/>
                <w:szCs w:val="21"/>
                <w:highlight w:val="none"/>
                <w:lang w:val="en-US" w:eastAsia="zh-CN"/>
              </w:rPr>
              <w:t>综合类</w:t>
            </w:r>
            <w:r>
              <w:rPr>
                <w:rFonts w:hint="eastAsia" w:ascii="仿宋" w:hAnsi="仿宋" w:eastAsia="仿宋" w:cs="仿宋"/>
                <w:color w:val="auto"/>
                <w:sz w:val="21"/>
                <w:szCs w:val="21"/>
                <w:highlight w:val="none"/>
                <w:lang w:val="en-US" w:eastAsia="zh-CN"/>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27.1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评审方法</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val="en-US" w:eastAsia="zh-CN"/>
              </w:rPr>
              <w:t>最低评标价法</w:t>
            </w:r>
          </w:p>
          <w:p>
            <w:pPr>
              <w:widowControl/>
              <w:rPr>
                <w:rFonts w:hint="eastAsia" w:ascii="仿宋" w:hAnsi="仿宋" w:eastAsia="仿宋" w:cs="仿宋"/>
                <w:color w:val="auto"/>
                <w:sz w:val="21"/>
                <w:szCs w:val="21"/>
                <w:highlight w:val="none"/>
                <w:lang w:val="en-US" w:eastAsia="zh-CN"/>
              </w:rPr>
            </w:pPr>
            <w:r>
              <w:rPr>
                <w:rFonts w:hint="eastAsia" w:ascii="仿宋" w:hAnsi="仿宋" w:eastAsia="仿宋" w:cs="仿宋"/>
                <w:strike w:val="0"/>
                <w:dstrike w:val="0"/>
                <w:color w:val="auto"/>
                <w:kern w:val="0"/>
                <w:sz w:val="21"/>
                <w:szCs w:val="21"/>
                <w:highlight w:val="none"/>
              </w:rPr>
              <w:sym w:font="Wingdings 2" w:char="0052"/>
            </w:r>
            <w:r>
              <w:rPr>
                <w:rFonts w:hint="eastAsia" w:ascii="仿宋" w:hAnsi="仿宋" w:eastAsia="仿宋" w:cs="仿宋"/>
                <w:strike w:val="0"/>
                <w:dstrike w:val="0"/>
                <w:color w:val="auto"/>
                <w:kern w:val="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推荐</w:t>
            </w:r>
            <w:r>
              <w:rPr>
                <w:rFonts w:hint="eastAsia" w:ascii="仿宋" w:hAnsi="仿宋" w:eastAsia="仿宋" w:cs="仿宋"/>
                <w:color w:val="auto"/>
                <w:kern w:val="0"/>
                <w:sz w:val="21"/>
                <w:szCs w:val="21"/>
                <w:highlight w:val="none"/>
                <w:lang w:eastAsia="zh-CN"/>
              </w:rPr>
              <w:t>中标候选人</w:t>
            </w:r>
            <w:r>
              <w:rPr>
                <w:rFonts w:hint="eastAsia" w:ascii="仿宋" w:hAnsi="仿宋" w:eastAsia="仿宋" w:cs="仿宋"/>
                <w:color w:val="auto"/>
                <w:kern w:val="0"/>
                <w:sz w:val="21"/>
                <w:szCs w:val="21"/>
                <w:highlight w:val="none"/>
              </w:rPr>
              <w:t>的数量</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2</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lang w:val="en-US" w:eastAsia="zh-CN"/>
              </w:rPr>
              <w:t>家/标段。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确定</w:t>
            </w:r>
            <w:r>
              <w:rPr>
                <w:rFonts w:hint="eastAsia" w:ascii="仿宋" w:hAnsi="仿宋" w:eastAsia="仿宋" w:cs="仿宋"/>
                <w:color w:val="auto"/>
                <w:kern w:val="0"/>
                <w:sz w:val="21"/>
                <w:szCs w:val="21"/>
                <w:highlight w:val="none"/>
                <w:lang w:eastAsia="zh-CN"/>
              </w:rPr>
              <w:t>中标人</w:t>
            </w:r>
            <w:r>
              <w:rPr>
                <w:rFonts w:hint="eastAsia" w:ascii="仿宋" w:hAnsi="仿宋" w:eastAsia="仿宋" w:cs="仿宋"/>
                <w:color w:val="auto"/>
                <w:kern w:val="0"/>
                <w:sz w:val="21"/>
                <w:szCs w:val="21"/>
                <w:highlight w:val="none"/>
              </w:rPr>
              <w:t>的方式</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中标人</w:t>
            </w:r>
            <w:r>
              <w:rPr>
                <w:rFonts w:hint="eastAsia" w:ascii="仿宋" w:hAnsi="仿宋" w:eastAsia="仿宋" w:cs="仿宋"/>
                <w:color w:val="auto"/>
                <w:kern w:val="0"/>
                <w:sz w:val="21"/>
                <w:szCs w:val="21"/>
                <w:highlight w:val="none"/>
              </w:rPr>
              <w:t>数量：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1家</w:t>
            </w:r>
          </w:p>
          <w:p>
            <w:pPr>
              <w:widowControl/>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eastAsia="zh-CN"/>
              </w:rPr>
              <w:t>招标人</w:t>
            </w:r>
            <w:r>
              <w:rPr>
                <w:rFonts w:hint="eastAsia" w:ascii="仿宋" w:hAnsi="仿宋" w:eastAsia="仿宋" w:cs="仿宋"/>
                <w:color w:val="auto"/>
                <w:kern w:val="0"/>
                <w:sz w:val="21"/>
                <w:szCs w:val="21"/>
                <w:highlight w:val="none"/>
              </w:rPr>
              <w:t>委托</w:t>
            </w:r>
            <w:r>
              <w:rPr>
                <w:rFonts w:hint="eastAsia" w:ascii="仿宋" w:hAnsi="仿宋" w:eastAsia="仿宋" w:cs="仿宋"/>
                <w:color w:val="auto"/>
                <w:kern w:val="0"/>
                <w:sz w:val="21"/>
                <w:szCs w:val="21"/>
                <w:highlight w:val="none"/>
                <w:lang w:val="en-US" w:eastAsia="zh-CN"/>
              </w:rPr>
              <w:t>评审</w:t>
            </w:r>
            <w:r>
              <w:rPr>
                <w:rFonts w:hint="eastAsia" w:ascii="仿宋" w:hAnsi="仿宋" w:eastAsia="仿宋" w:cs="仿宋"/>
                <w:color w:val="auto"/>
                <w:kern w:val="0"/>
                <w:sz w:val="21"/>
                <w:szCs w:val="21"/>
                <w:highlight w:val="none"/>
              </w:rPr>
              <w:t>小组直接确定</w:t>
            </w:r>
            <w:r>
              <w:rPr>
                <w:rFonts w:hint="eastAsia" w:ascii="仿宋" w:hAnsi="仿宋" w:eastAsia="仿宋" w:cs="仿宋"/>
                <w:color w:val="auto"/>
                <w:kern w:val="0"/>
                <w:sz w:val="21"/>
                <w:szCs w:val="21"/>
                <w:highlight w:val="none"/>
                <w:lang w:eastAsia="zh-CN"/>
              </w:rPr>
              <w:t>中标人</w:t>
            </w:r>
          </w:p>
          <w:p>
            <w:pPr>
              <w:widowControl/>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lang w:eastAsia="zh-CN"/>
              </w:rPr>
              <w:t>招标人</w:t>
            </w:r>
            <w:r>
              <w:rPr>
                <w:rFonts w:hint="eastAsia" w:ascii="仿宋" w:hAnsi="仿宋" w:eastAsia="仿宋" w:cs="仿宋"/>
                <w:color w:val="auto"/>
                <w:kern w:val="0"/>
                <w:sz w:val="21"/>
                <w:szCs w:val="21"/>
                <w:highlight w:val="none"/>
              </w:rPr>
              <w:t>确定</w:t>
            </w:r>
            <w:r>
              <w:rPr>
                <w:rFonts w:hint="eastAsia" w:ascii="仿宋" w:hAnsi="仿宋" w:eastAsia="仿宋" w:cs="仿宋"/>
                <w:color w:val="auto"/>
                <w:kern w:val="0"/>
                <w:sz w:val="21"/>
                <w:szCs w:val="21"/>
                <w:highlight w:val="none"/>
                <w:lang w:eastAsia="zh-CN"/>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履约保证金</w:t>
            </w:r>
          </w:p>
        </w:tc>
        <w:tc>
          <w:tcPr>
            <w:tcW w:w="6173" w:type="dxa"/>
            <w:tcBorders>
              <w:tl2br w:val="nil"/>
              <w:tr2bl w:val="nil"/>
            </w:tcBorders>
            <w:noWrap w:val="0"/>
            <w:vAlign w:val="center"/>
          </w:tcPr>
          <w:p>
            <w:pPr>
              <w:shd w:val="clear" w:color="auto" w:fill="FFFFFF"/>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.3</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质疑</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认为自己的权益受到损害的，可以在知道或者应知其权益受到损害之日起七个工作日内，向</w:t>
            </w: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sz w:val="21"/>
                <w:szCs w:val="21"/>
                <w:highlight w:val="none"/>
              </w:rPr>
              <w:t>提出质疑。</w:t>
            </w:r>
          </w:p>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接收质疑函的方式：接收加盖单位公章的书面质疑函</w:t>
            </w:r>
          </w:p>
          <w:p>
            <w:pPr>
              <w:widowControl/>
              <w:ind w:firstLine="420" w:firstLineChars="200"/>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联系单位：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肇庆交投孔湾港务有限公司</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黄小姐</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19129219494</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通讯地址：</w:t>
            </w:r>
            <w:r>
              <w:rPr>
                <w:rFonts w:hint="eastAsia" w:ascii="仿宋" w:hAnsi="仿宋" w:eastAsia="仿宋" w:cs="仿宋"/>
                <w:color w:val="auto"/>
                <w:kern w:val="0"/>
                <w:sz w:val="21"/>
                <w:szCs w:val="21"/>
                <w:highlight w:val="none"/>
                <w:u w:val="single"/>
              </w:rPr>
              <w:t xml:space="preserve"> 肇庆市端州区站前西路肇庆市交通集团</w:t>
            </w:r>
            <w:r>
              <w:rPr>
                <w:rFonts w:hint="eastAsia" w:ascii="仿宋" w:hAnsi="仿宋" w:eastAsia="仿宋" w:cs="仿宋"/>
                <w:color w:val="auto"/>
                <w:kern w:val="0"/>
                <w:sz w:val="21"/>
                <w:szCs w:val="21"/>
                <w:highlight w:val="none"/>
                <w:u w:val="single"/>
                <w:lang w:val="en-US" w:eastAsia="zh-CN"/>
              </w:rPr>
              <w:t>大楼二楼</w:t>
            </w:r>
            <w:r>
              <w:rPr>
                <w:rFonts w:hint="eastAsia" w:ascii="仿宋" w:hAnsi="仿宋" w:eastAsia="仿宋" w:cs="仿宋"/>
                <w:color w:val="auto"/>
                <w:kern w:val="0"/>
                <w:sz w:val="21"/>
                <w:szCs w:val="21"/>
                <w:highlight w:val="none"/>
                <w:u w:val="single"/>
              </w:rPr>
              <w:t xml:space="preserve"> </w:t>
            </w:r>
          </w:p>
          <w:p>
            <w:pPr>
              <w:widowControl/>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质疑函的内容、格式：质疑须以书面形式提出，列明质疑事项及相关依据，联系人、联系电话、传真、详细地址、邮编等基本信息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pStyle w:val="4"/>
              <w:bidi w:val="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应在质疑期内一次性针对同一采购程序环节提出质疑，否则针对再次提出质疑将不予接收。（采购程序环节分为：</w:t>
            </w:r>
            <w:r>
              <w:rPr>
                <w:rFonts w:hint="eastAsia" w:ascii="仿宋" w:hAnsi="仿宋" w:eastAsia="仿宋" w:cs="仿宋"/>
                <w:color w:val="auto"/>
                <w:highlight w:val="none"/>
                <w:lang w:eastAsia="zh-CN"/>
              </w:rPr>
              <w:t>招标公告</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招标文件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招标过程</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结果）</w:t>
            </w:r>
          </w:p>
          <w:p>
            <w:pPr>
              <w:pStyle w:val="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三、监督机构：肇庆市交通集团有限公司纪检监察室</w:t>
            </w:r>
          </w:p>
          <w:p>
            <w:pPr>
              <w:pStyle w:val="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监督电话：0758-2909855</w:t>
            </w:r>
          </w:p>
        </w:tc>
      </w:tr>
    </w:tbl>
    <w:p>
      <w:pPr>
        <w:pStyle w:val="4"/>
        <w:rPr>
          <w:rFonts w:hint="eastAsia" w:ascii="仿宋" w:hAnsi="仿宋" w:eastAsia="仿宋" w:cs="仿宋"/>
          <w:b w:val="0"/>
          <w:color w:val="auto"/>
          <w:kern w:val="2"/>
          <w:sz w:val="21"/>
          <w:szCs w:val="24"/>
          <w:highlight w:val="none"/>
          <w:lang w:val="en-US" w:eastAsia="zh-CN" w:bidi="ar-SA"/>
        </w:rPr>
        <w:sectPr>
          <w:headerReference r:id="rId5" w:type="default"/>
          <w:footerReference r:id="rId6" w:type="default"/>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仿宋" w:hAnsi="仿宋" w:eastAsia="仿宋" w:cs="仿宋"/>
          <w:b w:val="0"/>
          <w:color w:val="auto"/>
          <w:kern w:val="2"/>
          <w:sz w:val="21"/>
          <w:szCs w:val="24"/>
          <w:highlight w:val="none"/>
          <w:lang w:val="en-US" w:eastAsia="zh-CN" w:bidi="ar-SA"/>
        </w:rPr>
        <w:t>注：表格中“</w:t>
      </w:r>
      <w:r>
        <w:rPr>
          <w:rFonts w:hint="eastAsia" w:ascii="仿宋" w:hAnsi="仿宋" w:eastAsia="仿宋" w:cs="仿宋"/>
          <w:b w:val="0"/>
          <w:color w:val="auto"/>
          <w:kern w:val="2"/>
          <w:sz w:val="21"/>
          <w:szCs w:val="24"/>
          <w:highlight w:val="none"/>
          <w:lang w:val="en-US" w:eastAsia="zh-CN" w:bidi="ar-SA"/>
        </w:rPr>
        <w:sym w:font="Wingdings 2" w:char="0052"/>
      </w:r>
      <w:r>
        <w:rPr>
          <w:rFonts w:hint="eastAsia" w:ascii="仿宋" w:hAnsi="仿宋" w:eastAsia="仿宋" w:cs="仿宋"/>
          <w:b w:val="0"/>
          <w:color w:val="auto"/>
          <w:kern w:val="2"/>
          <w:sz w:val="21"/>
          <w:szCs w:val="24"/>
          <w:highlight w:val="none"/>
          <w:lang w:val="en-US" w:eastAsia="zh-CN" w:bidi="ar-SA"/>
        </w:rPr>
        <w:t>”项或“■”项为被选中项。</w:t>
      </w:r>
    </w:p>
    <w:p>
      <w:pPr>
        <w:pStyle w:val="3"/>
        <w:numPr>
          <w:ilvl w:val="0"/>
          <w:numId w:val="0"/>
        </w:numPr>
        <w:adjustRightInd w:val="0"/>
        <w:snapToGrid w:val="0"/>
        <w:spacing w:before="0" w:after="0"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二 总则</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eastAsia="zh-CN"/>
        </w:rPr>
        <w:t>招标人</w:t>
      </w:r>
      <w:r>
        <w:rPr>
          <w:rFonts w:hint="eastAsia" w:ascii="仿宋_GB2312" w:hAnsi="仿宋_GB2312" w:eastAsia="仿宋_GB2312" w:cs="仿宋_GB2312"/>
          <w:b/>
          <w:bCs/>
          <w:color w:val="auto"/>
          <w:szCs w:val="21"/>
          <w:highlight w:val="none"/>
        </w:rPr>
        <w:t>及</w:t>
      </w:r>
      <w:r>
        <w:rPr>
          <w:rFonts w:hint="eastAsia" w:ascii="仿宋_GB2312" w:hAnsi="仿宋_GB2312" w:eastAsia="仿宋_GB2312" w:cs="仿宋_GB2312"/>
          <w:b/>
          <w:bCs/>
          <w:color w:val="auto"/>
          <w:szCs w:val="21"/>
          <w:highlight w:val="none"/>
          <w:lang w:eastAsia="zh-CN"/>
        </w:rPr>
        <w:t>投标人</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须知表1.1款。</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：是指向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提供货物、工程或者服务的法人。</w:t>
      </w:r>
    </w:p>
    <w:p>
      <w:pPr>
        <w:adjustRightInd w:val="0"/>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1.2.1</w:t>
      </w:r>
      <w:r>
        <w:rPr>
          <w:rFonts w:hint="eastAsia" w:ascii="仿宋_GB2312" w:hAnsi="仿宋_GB2312" w:eastAsia="仿宋_GB2312" w:cs="仿宋_GB2312"/>
          <w:color w:val="auto"/>
          <w:szCs w:val="21"/>
          <w:highlight w:val="none"/>
        </w:rPr>
        <w:t>本项目的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须满足</w:t>
      </w:r>
      <w:r>
        <w:rPr>
          <w:rFonts w:hint="eastAsia" w:ascii="仿宋_GB2312" w:hAnsi="仿宋_GB2312" w:eastAsia="仿宋_GB2312" w:cs="仿宋_GB2312"/>
          <w:color w:val="auto"/>
          <w:szCs w:val="21"/>
          <w:highlight w:val="none"/>
          <w:lang w:val="en-US" w:eastAsia="zh-CN"/>
        </w:rPr>
        <w:t>的资格要求</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见招标公告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.2本项目的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不得存在的情形</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见招标公告</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对投标人的其他资格要求见投标人须知表1.2.3款。</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以</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认可的方式获得了本项目的</w:t>
      </w:r>
      <w:r>
        <w:rPr>
          <w:rFonts w:hint="eastAsia" w:ascii="仿宋_GB2312" w:hAnsi="仿宋_GB2312" w:eastAsia="仿宋_GB2312" w:cs="仿宋_GB2312"/>
          <w:color w:val="auto"/>
          <w:szCs w:val="21"/>
          <w:highlight w:val="none"/>
          <w:lang w:eastAsia="zh-CN"/>
        </w:rPr>
        <w:t>招标文件</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color w:val="auto"/>
          <w:szCs w:val="21"/>
          <w:highlight w:val="none"/>
        </w:rPr>
        <w:t>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款中允许联合体参加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的，对联合体规定如下：</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.1两个以上</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可以组成一个联合体，以一个</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的身份参加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.2联合体各方均应符合</w:t>
      </w:r>
      <w:r>
        <w:rPr>
          <w:rFonts w:hint="eastAsia" w:ascii="仿宋_GB2312" w:hAnsi="仿宋_GB2312" w:eastAsia="仿宋_GB2312" w:cs="仿宋_GB2312"/>
          <w:color w:val="auto"/>
          <w:szCs w:val="21"/>
          <w:highlight w:val="none"/>
          <w:lang w:val="en-US" w:eastAsia="zh-CN"/>
        </w:rPr>
        <w:t>本总则1.2.1款和1.2.2款</w:t>
      </w:r>
      <w:r>
        <w:rPr>
          <w:rFonts w:hint="eastAsia" w:ascii="仿宋_GB2312" w:hAnsi="仿宋_GB2312" w:eastAsia="仿宋_GB2312" w:cs="仿宋_GB2312"/>
          <w:color w:val="auto"/>
          <w:szCs w:val="21"/>
          <w:highlight w:val="none"/>
        </w:rPr>
        <w:t>规定的条件。</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联合体各方应签订共同参加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协议，明确约定联合体各方承担的工作和相应的责任。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联合体中有同类资质的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按照联合体分工承担相同工作的，按照较低的资质等级确定联合体的资质等级。</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以联合体形式参加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的，联合体各方不得再单独参加或者与其他</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另外组成联合体参加本项目</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，否则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（1）两个以上的法人或者其他组织可以组成一个联合体，以一个</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的身份共同参加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的，联合体各方应共同与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，就</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约定的事项对</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承担连带责任。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对联合体参加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的其他资格要求见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eastAsia="zh-CN"/>
        </w:rPr>
        <w:t>招标过程</w:t>
      </w:r>
      <w:r>
        <w:rPr>
          <w:rFonts w:hint="eastAsia" w:ascii="仿宋_GB2312" w:hAnsi="仿宋_GB2312" w:eastAsia="仿宋_GB2312" w:cs="仿宋_GB2312"/>
          <w:color w:val="auto"/>
          <w:szCs w:val="21"/>
          <w:highlight w:val="none"/>
        </w:rPr>
        <w:t>中不得向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提供、给予任何有价值的物品，影响其正常决策行为。</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2.资金来源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2.1本项目的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已获得足以支付本次</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后所签订的合同项下的资金。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2.2项目</w:t>
      </w:r>
      <w:r>
        <w:rPr>
          <w:rFonts w:hint="eastAsia" w:ascii="仿宋_GB2312" w:hAnsi="仿宋_GB2312" w:eastAsia="仿宋_GB2312" w:cs="仿宋_GB2312"/>
          <w:color w:val="auto"/>
          <w:szCs w:val="21"/>
          <w:highlight w:val="none"/>
          <w:lang w:val="en-US" w:eastAsia="zh-CN"/>
        </w:rPr>
        <w:t>标段</w:t>
      </w:r>
      <w:r>
        <w:rPr>
          <w:rFonts w:hint="eastAsia" w:ascii="仿宋_GB2312" w:hAnsi="仿宋_GB2312" w:eastAsia="仿宋_GB2312" w:cs="仿宋_GB2312"/>
          <w:color w:val="auto"/>
          <w:szCs w:val="21"/>
          <w:highlight w:val="none"/>
        </w:rPr>
        <w:t>最高限价见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须知表2.2款。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报价超过</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规定的</w:t>
      </w:r>
      <w:r>
        <w:rPr>
          <w:rFonts w:hint="eastAsia" w:ascii="仿宋_GB2312" w:hAnsi="仿宋_GB2312" w:eastAsia="仿宋_GB2312" w:cs="仿宋_GB2312"/>
          <w:color w:val="auto"/>
          <w:szCs w:val="21"/>
          <w:highlight w:val="none"/>
          <w:lang w:val="en-US" w:eastAsia="zh-CN"/>
        </w:rPr>
        <w:t>该标段</w:t>
      </w:r>
      <w:r>
        <w:rPr>
          <w:rFonts w:hint="eastAsia" w:ascii="仿宋_GB2312" w:hAnsi="仿宋_GB2312" w:eastAsia="仿宋_GB2312" w:cs="仿宋_GB2312"/>
          <w:color w:val="auto"/>
          <w:szCs w:val="21"/>
          <w:highlight w:val="none"/>
        </w:rPr>
        <w:t>最高限价的，其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6" w:name="_Toc266951048"/>
      <w:r>
        <w:rPr>
          <w:rFonts w:hint="eastAsia" w:ascii="仿宋_GB2312" w:hAnsi="仿宋_GB2312" w:eastAsia="仿宋_GB2312" w:cs="仿宋_GB2312"/>
          <w:b/>
          <w:bCs/>
          <w:color w:val="auto"/>
          <w:szCs w:val="21"/>
          <w:highlight w:val="none"/>
        </w:rPr>
        <w:t>3.语言文字</w:t>
      </w:r>
      <w:bookmarkEnd w:id="6"/>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除专用术语外，与询价响应有关的语言均使用中文。必要时专用术语应附有中文注释。对不同文字文本</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的解释发生异议的，以中文文本为准。</w:t>
      </w:r>
    </w:p>
    <w:p>
      <w:pPr>
        <w:adjustRightInd w:val="0"/>
        <w:snapToGrid w:val="0"/>
        <w:spacing w:line="360" w:lineRule="auto"/>
        <w:rPr>
          <w:rFonts w:ascii="仿宋_GB2312" w:hAnsi="仿宋_GB2312" w:eastAsia="仿宋_GB2312" w:cs="仿宋_GB2312"/>
          <w:b/>
          <w:bCs/>
          <w:color w:val="auto"/>
          <w:szCs w:val="21"/>
          <w:highlight w:val="none"/>
        </w:rPr>
      </w:pPr>
      <w:bookmarkStart w:id="7" w:name="_1.8_计量单位"/>
      <w:bookmarkEnd w:id="7"/>
      <w:bookmarkStart w:id="8" w:name="_Toc266951049"/>
      <w:r>
        <w:rPr>
          <w:rFonts w:hint="eastAsia" w:ascii="仿宋_GB2312" w:hAnsi="仿宋_GB2312" w:eastAsia="仿宋_GB2312" w:cs="仿宋_GB2312"/>
          <w:b/>
          <w:bCs/>
          <w:color w:val="auto"/>
          <w:szCs w:val="21"/>
          <w:highlight w:val="none"/>
        </w:rPr>
        <w:t>4.计量单位</w:t>
      </w:r>
      <w:bookmarkEnd w:id="8"/>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中所使用的计量单位，应采用中华人民共和国法定计量单位。</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5.</w:t>
      </w:r>
      <w:r>
        <w:rPr>
          <w:rFonts w:hint="eastAsia" w:ascii="仿宋_GB2312" w:hAnsi="仿宋_GB2312" w:eastAsia="仿宋_GB2312" w:cs="仿宋_GB2312"/>
          <w:b/>
          <w:bCs/>
          <w:color w:val="auto"/>
          <w:szCs w:val="21"/>
          <w:highlight w:val="none"/>
          <w:lang w:eastAsia="zh-CN"/>
        </w:rPr>
        <w:t>投标费用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不论</w:t>
      </w:r>
      <w:r>
        <w:rPr>
          <w:rFonts w:hint="eastAsia" w:ascii="仿宋_GB2312" w:hAnsi="仿宋_GB2312" w:eastAsia="仿宋_GB2312" w:cs="仿宋_GB2312"/>
          <w:color w:val="auto"/>
          <w:szCs w:val="21"/>
          <w:highlight w:val="none"/>
          <w:lang w:val="en-US" w:eastAsia="zh-CN"/>
        </w:rPr>
        <w:t>投标</w:t>
      </w:r>
      <w:r>
        <w:rPr>
          <w:rFonts w:hint="eastAsia" w:ascii="仿宋_GB2312" w:hAnsi="仿宋_GB2312" w:eastAsia="仿宋_GB2312" w:cs="仿宋_GB2312"/>
          <w:color w:val="auto"/>
          <w:szCs w:val="21"/>
          <w:highlight w:val="none"/>
        </w:rPr>
        <w:t>的结果如何，</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应承担所有与本次</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有关的费用。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6.现场考察、询价前答疑会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w:t>
      </w:r>
      <w:r>
        <w:rPr>
          <w:rFonts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6.1款规定组织现场考察或答疑会的，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按规定的时间、地点组织</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现场考察或答疑会，或者在</w:t>
      </w:r>
      <w:r>
        <w:rPr>
          <w:rFonts w:hint="eastAsia" w:ascii="仿宋_GB2312" w:hAnsi="仿宋_GB2312" w:eastAsia="仿宋_GB2312" w:cs="仿宋_GB2312"/>
          <w:color w:val="auto"/>
          <w:szCs w:val="21"/>
          <w:highlight w:val="none"/>
          <w:lang w:val="en-US" w:eastAsia="zh-CN"/>
        </w:rPr>
        <w:t>招标文件规定的时间内</w:t>
      </w:r>
      <w:r>
        <w:rPr>
          <w:rFonts w:hint="eastAsia" w:ascii="仿宋_GB2312" w:hAnsi="仿宋_GB2312" w:eastAsia="仿宋_GB2312" w:cs="仿宋_GB2312"/>
          <w:color w:val="auto"/>
          <w:szCs w:val="21"/>
          <w:highlight w:val="none"/>
        </w:rPr>
        <w:t>以书面形式通知所有获取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的潜在</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9" w:name="_1.10_投标预备会"/>
      <w:bookmarkEnd w:id="9"/>
      <w:r>
        <w:rPr>
          <w:rFonts w:hint="eastAsia" w:ascii="仿宋_GB2312" w:hAnsi="仿宋_GB2312" w:eastAsia="仿宋_GB2312" w:cs="仿宋_GB2312"/>
          <w:color w:val="auto"/>
          <w:szCs w:val="21"/>
          <w:highlight w:val="none"/>
        </w:rPr>
        <w:t>6.2</w:t>
      </w:r>
      <w:r>
        <w:rPr>
          <w:rFonts w:hint="eastAsia" w:ascii="仿宋_GB2312" w:hAnsi="仿宋_GB2312" w:eastAsia="仿宋_GB2312" w:cs="仿宋_GB2312"/>
          <w:color w:val="auto"/>
          <w:kern w:val="0"/>
          <w:szCs w:val="21"/>
          <w:highlight w:val="none"/>
        </w:rPr>
        <w:t>由于未参加现场考察或答疑</w:t>
      </w:r>
      <w:r>
        <w:rPr>
          <w:rFonts w:hint="eastAsia" w:ascii="仿宋_GB2312" w:hAnsi="仿宋_GB2312" w:eastAsia="仿宋_GB2312" w:cs="仿宋_GB2312"/>
          <w:color w:val="auto"/>
          <w:kern w:val="0"/>
          <w:szCs w:val="21"/>
          <w:highlight w:val="none"/>
          <w:lang w:val="en-US" w:eastAsia="zh-CN"/>
        </w:rPr>
        <w:t>会</w:t>
      </w:r>
      <w:r>
        <w:rPr>
          <w:rFonts w:hint="eastAsia" w:ascii="仿宋_GB2312" w:hAnsi="仿宋_GB2312" w:eastAsia="仿宋_GB2312" w:cs="仿宋_GB2312"/>
          <w:color w:val="auto"/>
          <w:kern w:val="0"/>
          <w:szCs w:val="21"/>
          <w:highlight w:val="none"/>
        </w:rPr>
        <w:t>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_GB2312" w:eastAsia="仿宋_GB2312" w:cs="仿宋_GB2312"/>
          <w:color w:val="auto"/>
          <w:kern w:val="0"/>
          <w:szCs w:val="21"/>
          <w:highlight w:val="none"/>
          <w:lang w:eastAsia="zh-CN"/>
        </w:rPr>
        <w:t>投标报价</w:t>
      </w:r>
      <w:r>
        <w:rPr>
          <w:rFonts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准确性、综合因素响应不全面等问题的，由</w:t>
      </w:r>
      <w:r>
        <w:rPr>
          <w:rFonts w:hint="eastAsia" w:ascii="仿宋_GB2312" w:hAnsi="仿宋_GB2312" w:eastAsia="仿宋_GB2312" w:cs="仿宋_GB2312"/>
          <w:color w:val="auto"/>
          <w:kern w:val="0"/>
          <w:szCs w:val="21"/>
          <w:highlight w:val="none"/>
          <w:lang w:eastAsia="zh-CN"/>
        </w:rPr>
        <w:t>投标人</w:t>
      </w:r>
      <w:r>
        <w:rPr>
          <w:rFonts w:hint="eastAsia" w:ascii="仿宋_GB2312" w:hAnsi="仿宋_GB2312" w:eastAsia="仿宋_GB2312" w:cs="仿宋_GB2312"/>
          <w:color w:val="auto"/>
          <w:kern w:val="0"/>
          <w:szCs w:val="21"/>
          <w:highlight w:val="none"/>
        </w:rPr>
        <w:t>自行承担相应后果。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6.3现场考察及参加答疑会所发生的费用及一切责任由</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自行承担。</w:t>
      </w:r>
    </w:p>
    <w:p>
      <w:pPr>
        <w:numPr>
          <w:ilvl w:val="0"/>
          <w:numId w:val="0"/>
        </w:numPr>
        <w:adjustRightInd w:val="0"/>
        <w:snapToGrid w:val="0"/>
        <w:spacing w:line="360" w:lineRule="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7.分包</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7.1投标人在中标后将所取得项目的部分非主体、非关键性工作进行分包的，应符合以下规定：</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7.1.1 分包内容要求：招标人允许分包的专项工作（如有）应在投标人须知前附表中载明。</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7.1.2 接受分包的第三人资格要求：分包人的资格能力应与其分包工作的标准和规模相适应，且具备投标人须知前附表中规定的资格条件。</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7.1.3 投标人如有分包计划，应按第六章“投标文件格式”的要求填写“拟分包项目情况表”。</w:t>
      </w:r>
    </w:p>
    <w:p>
      <w:pPr>
        <w:pStyle w:val="25"/>
        <w:ind w:left="0" w:leftChars="0" w:firstLine="0" w:firstLineChars="0"/>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7.2 中标人不得向他人转让中标项目，接受分包的人不得再次分包。投标人就分包项目向招标人负责，接受分包的人就分包项目承担连带责任。</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适用</w:t>
      </w:r>
      <w:r>
        <w:rPr>
          <w:rFonts w:hint="eastAsia" w:ascii="仿宋_GB2312" w:hAnsi="仿宋_GB2312" w:eastAsia="仿宋_GB2312" w:cs="仿宋_GB2312"/>
          <w:b/>
          <w:bCs/>
          <w:color w:val="auto"/>
          <w:szCs w:val="21"/>
          <w:highlight w:val="none"/>
          <w:lang w:val="en-US" w:eastAsia="zh-CN"/>
        </w:rPr>
        <w:t>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小组的相关行为均受</w:t>
      </w:r>
      <w:r>
        <w:rPr>
          <w:rFonts w:hint="eastAsia" w:ascii="仿宋_GB2312" w:hAnsi="仿宋_GB2312" w:eastAsia="仿宋_GB2312" w:cs="仿宋_GB2312"/>
          <w:color w:val="auto"/>
          <w:szCs w:val="21"/>
          <w:highlight w:val="none"/>
          <w:lang w:val="en-US" w:eastAsia="zh-CN"/>
        </w:rPr>
        <w:t>肇庆市交通集团有限公司</w:t>
      </w:r>
      <w:r>
        <w:rPr>
          <w:rFonts w:hint="eastAsia" w:ascii="仿宋_GB2312" w:hAnsi="仿宋_GB2312" w:eastAsia="仿宋_GB2312" w:cs="仿宋_GB2312"/>
          <w:color w:val="auto"/>
          <w:szCs w:val="21"/>
          <w:highlight w:val="none"/>
        </w:rPr>
        <w:t>关于采购有关规</w:t>
      </w:r>
      <w:r>
        <w:rPr>
          <w:rFonts w:hint="eastAsia" w:ascii="仿宋_GB2312" w:hAnsi="仿宋_GB2312" w:eastAsia="仿宋_GB2312" w:cs="仿宋_GB2312"/>
          <w:color w:val="auto"/>
          <w:szCs w:val="21"/>
          <w:highlight w:val="none"/>
          <w:lang w:val="en-US" w:eastAsia="zh-CN"/>
        </w:rPr>
        <w:t>章制度</w:t>
      </w:r>
      <w:r>
        <w:rPr>
          <w:rFonts w:hint="eastAsia" w:ascii="仿宋_GB2312" w:hAnsi="仿宋_GB2312" w:eastAsia="仿宋_GB2312" w:cs="仿宋_GB2312"/>
          <w:color w:val="auto"/>
          <w:szCs w:val="21"/>
          <w:highlight w:val="none"/>
        </w:rPr>
        <w:t>的约束，其权利受到上述规</w:t>
      </w:r>
      <w:r>
        <w:rPr>
          <w:rFonts w:hint="eastAsia" w:ascii="仿宋_GB2312" w:hAnsi="仿宋_GB2312" w:eastAsia="仿宋_GB2312" w:cs="仿宋_GB2312"/>
          <w:color w:val="auto"/>
          <w:szCs w:val="21"/>
          <w:highlight w:val="none"/>
          <w:lang w:val="en-US" w:eastAsia="zh-CN"/>
        </w:rPr>
        <w:t>章制度</w:t>
      </w:r>
      <w:r>
        <w:rPr>
          <w:rFonts w:hint="eastAsia" w:ascii="仿宋_GB2312" w:hAnsi="仿宋_GB2312" w:eastAsia="仿宋_GB2312" w:cs="仿宋_GB2312"/>
          <w:color w:val="auto"/>
          <w:szCs w:val="21"/>
          <w:highlight w:val="none"/>
        </w:rPr>
        <w:t>的保护。</w:t>
      </w:r>
    </w:p>
    <w:p>
      <w:pPr>
        <w:pStyle w:val="3"/>
        <w:adjustRightInd w:val="0"/>
        <w:snapToGrid w:val="0"/>
        <w:spacing w:before="0" w:after="0" w:line="360" w:lineRule="auto"/>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三 </w:t>
      </w:r>
      <w:r>
        <w:rPr>
          <w:rFonts w:hint="eastAsia" w:ascii="仿宋_GB2312" w:hAnsi="仿宋_GB2312" w:eastAsia="仿宋_GB2312" w:cs="仿宋_GB2312"/>
          <w:color w:val="auto"/>
          <w:sz w:val="28"/>
          <w:szCs w:val="28"/>
          <w:highlight w:val="none"/>
          <w:lang w:val="en-US" w:eastAsia="zh-CN"/>
        </w:rPr>
        <w:t>招标文件</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构成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共五章，内容如下:</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 xml:space="preserve">第一章 </w:t>
      </w:r>
      <w:r>
        <w:rPr>
          <w:rFonts w:hint="eastAsia" w:ascii="仿宋_GB2312" w:hAnsi="仿宋_GB2312" w:eastAsia="仿宋_GB2312" w:cs="仿宋_GB2312"/>
          <w:color w:val="auto"/>
          <w:szCs w:val="21"/>
          <w:highlight w:val="none"/>
          <w:lang w:eastAsia="zh-CN"/>
        </w:rPr>
        <w:t>招标公告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三</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四</w:t>
      </w:r>
      <w:r>
        <w:rPr>
          <w:rFonts w:hint="eastAsia" w:ascii="仿宋_GB2312" w:hAnsi="仿宋_GB2312" w:eastAsia="仿宋_GB2312" w:cs="仿宋_GB2312"/>
          <w:color w:val="auto"/>
          <w:szCs w:val="21"/>
          <w:highlight w:val="none"/>
        </w:rPr>
        <w:t>章 评审方法</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五</w:t>
      </w:r>
      <w:r>
        <w:rPr>
          <w:rFonts w:hint="eastAsia" w:ascii="仿宋_GB2312" w:hAnsi="仿宋_GB2312" w:eastAsia="仿宋_GB2312" w:cs="仿宋_GB2312"/>
          <w:color w:val="auto"/>
          <w:szCs w:val="21"/>
          <w:highlight w:val="none"/>
        </w:rPr>
        <w:t>章 合同条款及格式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应认真阅读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所有的事项、格式、条款等。如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没有按照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要求提交资料，或者</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没有对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做出实质性响应，可能导致其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val="0"/>
          <w:bCs w:val="0"/>
          <w:color w:val="auto"/>
          <w:szCs w:val="21"/>
          <w:highlight w:val="none"/>
        </w:rPr>
        <w:t>。</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对</w:t>
      </w:r>
      <w:r>
        <w:rPr>
          <w:rFonts w:hint="eastAsia" w:ascii="仿宋_GB2312" w:hAnsi="仿宋_GB2312" w:eastAsia="仿宋_GB2312" w:cs="仿宋_GB2312"/>
          <w:color w:val="auto"/>
          <w:szCs w:val="21"/>
          <w:highlight w:val="none"/>
          <w:lang w:eastAsia="zh-CN"/>
        </w:rPr>
        <w:t>招标文件</w:t>
      </w:r>
      <w:r>
        <w:rPr>
          <w:rFonts w:hint="eastAsia" w:ascii="仿宋_GB2312" w:hAnsi="仿宋_GB2312" w:eastAsia="仿宋_GB2312" w:cs="仿宋_GB2312"/>
          <w:color w:val="auto"/>
          <w:szCs w:val="21"/>
          <w:highlight w:val="none"/>
        </w:rPr>
        <w:t>提出疑</w:t>
      </w:r>
      <w:r>
        <w:rPr>
          <w:rFonts w:hint="eastAsia" w:ascii="仿宋_GB2312" w:hAnsi="仿宋_GB2312" w:eastAsia="仿宋_GB2312" w:cs="仿宋_GB2312"/>
          <w:color w:val="auto"/>
          <w:szCs w:val="21"/>
          <w:highlight w:val="none"/>
          <w:lang w:val="en-US" w:eastAsia="zh-CN"/>
        </w:rPr>
        <w:t>问</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或要求招标人对招标文件进行澄清的，</w:t>
      </w:r>
      <w:r>
        <w:rPr>
          <w:rFonts w:hint="eastAsia" w:ascii="仿宋_GB2312" w:hAnsi="仿宋_GB2312" w:eastAsia="仿宋_GB2312" w:cs="仿宋_GB2312"/>
          <w:color w:val="auto"/>
          <w:szCs w:val="21"/>
          <w:highlight w:val="none"/>
        </w:rPr>
        <w:t>应当在</w:t>
      </w:r>
      <w:r>
        <w:rPr>
          <w:rFonts w:hint="eastAsia" w:ascii="仿宋_GB2312" w:hAnsi="仿宋_GB2312" w:eastAsia="仿宋_GB2312" w:cs="仿宋_GB2312"/>
          <w:color w:val="auto"/>
          <w:szCs w:val="21"/>
          <w:highlight w:val="none"/>
          <w:lang w:val="en-US" w:eastAsia="zh-CN"/>
        </w:rPr>
        <w:t>投标文件递交截止</w:t>
      </w:r>
      <w:r>
        <w:rPr>
          <w:rFonts w:hint="eastAsia" w:ascii="仿宋_GB2312" w:hAnsi="仿宋_GB2312" w:eastAsia="仿宋_GB2312" w:cs="仿宋_GB2312"/>
          <w:color w:val="auto"/>
          <w:szCs w:val="21"/>
          <w:highlight w:val="none"/>
        </w:rPr>
        <w:t>之日</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日</w:t>
      </w:r>
      <w:r>
        <w:rPr>
          <w:rFonts w:hint="eastAsia" w:ascii="仿宋_GB2312" w:hAnsi="仿宋_GB2312" w:eastAsia="仿宋_GB2312" w:cs="仿宋_GB2312"/>
          <w:color w:val="auto"/>
          <w:szCs w:val="21"/>
          <w:highlight w:val="none"/>
          <w:lang w:val="en-US" w:eastAsia="zh-CN"/>
        </w:rPr>
        <w:t>前通过电子采购平台</w:t>
      </w:r>
      <w:r>
        <w:rPr>
          <w:rFonts w:hint="eastAsia" w:ascii="仿宋_GB2312" w:hAnsi="仿宋_GB2312" w:eastAsia="仿宋_GB2312" w:cs="仿宋_GB2312"/>
          <w:color w:val="auto"/>
          <w:szCs w:val="21"/>
          <w:highlight w:val="none"/>
        </w:rPr>
        <w:t>提出</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在上述规定的时间之后对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提出的</w:t>
      </w:r>
      <w:r>
        <w:rPr>
          <w:rFonts w:hint="eastAsia" w:ascii="仿宋_GB2312" w:hAnsi="仿宋_GB2312" w:eastAsia="仿宋_GB2312" w:cs="仿宋_GB2312"/>
          <w:color w:val="auto"/>
          <w:szCs w:val="21"/>
          <w:highlight w:val="none"/>
          <w:lang w:val="en-US" w:eastAsia="zh-CN"/>
        </w:rPr>
        <w:t>疑问</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有权不予受理。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10</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的澄清与修改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可以对已发出的</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进行必要的澄清或者修改。澄清或者修改的内容可能影响</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编制的，应当在提交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截止之日</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rPr>
        <w:t>日前，在</w:t>
      </w:r>
      <w:r>
        <w:rPr>
          <w:rFonts w:hint="eastAsia" w:ascii="仿宋_GB2312" w:hAnsi="仿宋_GB2312" w:eastAsia="仿宋_GB2312" w:cs="仿宋_GB2312"/>
          <w:color w:val="auto"/>
          <w:szCs w:val="21"/>
          <w:highlight w:val="none"/>
          <w:lang w:val="en-US" w:eastAsia="zh-CN"/>
        </w:rPr>
        <w:t>电子采购平台发出澄清或修改文件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请已</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予以注意</w:t>
      </w:r>
      <w:r>
        <w:rPr>
          <w:rFonts w:hint="eastAsia" w:ascii="仿宋_GB2312" w:hAnsi="仿宋_GB2312" w:eastAsia="仿宋_GB2312" w:cs="仿宋_GB2312"/>
          <w:color w:val="auto"/>
          <w:szCs w:val="21"/>
          <w:highlight w:val="none"/>
        </w:rPr>
        <w:t>；不足</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日的，应当顺延提交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的截止</w:t>
      </w:r>
      <w:r>
        <w:rPr>
          <w:rFonts w:hint="eastAsia" w:ascii="仿宋_GB2312" w:hAnsi="仿宋_GB2312" w:eastAsia="仿宋_GB2312" w:cs="仿宋_GB2312"/>
          <w:color w:val="auto"/>
          <w:szCs w:val="21"/>
          <w:highlight w:val="none"/>
          <w:lang w:val="en-US" w:eastAsia="zh-CN"/>
        </w:rPr>
        <w:t>时间</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.2澄清或者修改的内容为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的组成部分，对所有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的收受人具有约束力。</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w:t>
      </w:r>
      <w:r>
        <w:rPr>
          <w:rFonts w:hint="eastAsia" w:ascii="仿宋_GB2312" w:hAnsi="仿宋_GB2312" w:eastAsia="仿宋_GB2312" w:cs="仿宋_GB2312"/>
          <w:color w:val="auto"/>
          <w:szCs w:val="21"/>
          <w:highlight w:val="none"/>
          <w:lang w:val="en-US" w:eastAsia="zh-CN"/>
        </w:rPr>
        <w:t>通过电子采购平台自行下载澄清文件，无需</w:t>
      </w:r>
      <w:r>
        <w:rPr>
          <w:rFonts w:hint="eastAsia" w:ascii="仿宋_GB2312" w:hAnsi="仿宋_GB2312" w:eastAsia="仿宋_GB2312" w:cs="仿宋_GB2312"/>
          <w:color w:val="auto"/>
          <w:szCs w:val="21"/>
          <w:highlight w:val="none"/>
        </w:rPr>
        <w:t>向</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回函确认。</w:t>
      </w:r>
      <w:r>
        <w:rPr>
          <w:rFonts w:hint="eastAsia" w:ascii="仿宋_GB2312" w:hAnsi="仿宋_GB2312" w:eastAsia="仿宋_GB2312" w:cs="仿宋_GB2312"/>
          <w:color w:val="auto"/>
          <w:szCs w:val="21"/>
          <w:highlight w:val="none"/>
          <w:lang w:val="en-US" w:eastAsia="zh-CN"/>
        </w:rPr>
        <w:t>投标人应注意及时浏览电子采购平台发出的澄清，因投标人自身原因未及时获知澄清内容而导致的任何后果将由投标人自行承担。</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四 </w:t>
      </w:r>
      <w:r>
        <w:rPr>
          <w:rFonts w:hint="eastAsia" w:ascii="仿宋_GB2312" w:hAnsi="仿宋_GB2312" w:eastAsia="仿宋_GB2312" w:cs="仿宋_GB2312"/>
          <w:color w:val="auto"/>
          <w:sz w:val="28"/>
          <w:szCs w:val="28"/>
          <w:highlight w:val="none"/>
          <w:lang w:eastAsia="zh-CN"/>
        </w:rPr>
        <w:t>投标文件</w:t>
      </w:r>
      <w:r>
        <w:rPr>
          <w:rFonts w:hint="eastAsia" w:ascii="仿宋_GB2312" w:hAnsi="仿宋_GB2312" w:eastAsia="仿宋_GB2312" w:cs="仿宋_GB2312"/>
          <w:color w:val="auto"/>
          <w:sz w:val="28"/>
          <w:szCs w:val="28"/>
          <w:highlight w:val="none"/>
        </w:rPr>
        <w:t>的编制</w:t>
      </w:r>
    </w:p>
    <w:p>
      <w:pPr>
        <w:pStyle w:val="5"/>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投标范围</w:t>
      </w:r>
    </w:p>
    <w:p>
      <w:pPr>
        <w:pStyle w:val="5"/>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.1项目有分</w:t>
      </w:r>
      <w:r>
        <w:rPr>
          <w:rFonts w:hint="eastAsia" w:ascii="仿宋_GB2312" w:hAnsi="仿宋_GB2312" w:eastAsia="仿宋_GB2312" w:cs="仿宋_GB2312"/>
          <w:color w:val="auto"/>
          <w:szCs w:val="21"/>
          <w:highlight w:val="none"/>
          <w:lang w:val="en-US" w:eastAsia="zh-CN"/>
        </w:rPr>
        <w:t>标段</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其中某一个</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或几个</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进行响应。</w:t>
      </w:r>
      <w:r>
        <w:rPr>
          <w:rFonts w:hint="eastAsia" w:ascii="仿宋_GB2312" w:hAnsi="仿宋_GB2312" w:eastAsia="仿宋_GB2312" w:cs="仿宋_GB2312"/>
          <w:color w:val="auto"/>
          <w:szCs w:val="21"/>
          <w:highlight w:val="none"/>
          <w:lang w:val="en-US" w:eastAsia="zh-CN"/>
        </w:rPr>
        <w:t>具体要求详见招标公告。</w:t>
      </w:r>
    </w:p>
    <w:p>
      <w:pPr>
        <w:pStyle w:val="5"/>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应当对所响应</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中</w:t>
      </w:r>
      <w:r>
        <w:rPr>
          <w:rFonts w:hint="eastAsia" w:ascii="仿宋_GB2312" w:hAnsi="仿宋_GB2312" w:eastAsia="仿宋_GB2312" w:cs="仿宋_GB2312"/>
          <w:color w:val="auto"/>
          <w:szCs w:val="21"/>
          <w:highlight w:val="none"/>
          <w:lang w:val="en-US" w:eastAsia="zh-CN"/>
        </w:rPr>
        <w:t>第三章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需求”所列的所有内容进行响应，如仅响应</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中某一部分内容，其该</w:t>
      </w:r>
      <w:r>
        <w:rPr>
          <w:rFonts w:hint="eastAsia" w:ascii="仿宋_GB2312" w:hAnsi="仿宋_GB2312" w:eastAsia="仿宋_GB2312" w:cs="仿宋_GB2312"/>
          <w:color w:val="auto"/>
          <w:szCs w:val="21"/>
          <w:highlight w:val="none"/>
          <w:lang w:eastAsia="zh-CN"/>
        </w:rPr>
        <w:t>标段投标文件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无论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三</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中是否要求，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所响应</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i w:val="0"/>
          <w:iCs w:val="0"/>
          <w:color w:val="auto"/>
          <w:szCs w:val="21"/>
          <w:highlight w:val="none"/>
        </w:rPr>
        <w:t>货物</w:t>
      </w:r>
      <w:r>
        <w:rPr>
          <w:rFonts w:hint="eastAsia" w:ascii="仿宋_GB2312" w:hAnsi="仿宋_GB2312" w:eastAsia="仿宋_GB2312" w:cs="仿宋_GB2312"/>
          <w:i w:val="0"/>
          <w:iCs w:val="0"/>
          <w:color w:val="auto"/>
          <w:szCs w:val="21"/>
          <w:highlight w:val="none"/>
          <w:lang w:val="en-US" w:eastAsia="zh-CN"/>
        </w:rPr>
        <w:t>、服务、工程</w:t>
      </w:r>
      <w:r>
        <w:rPr>
          <w:rFonts w:hint="eastAsia" w:ascii="仿宋_GB2312" w:hAnsi="仿宋_GB2312" w:eastAsia="仿宋_GB2312" w:cs="仿宋_GB2312"/>
          <w:color w:val="auto"/>
          <w:szCs w:val="21"/>
          <w:highlight w:val="none"/>
        </w:rPr>
        <w:t>均应符合国家强制性标准。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构成</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应完整地按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lang w:val="en-US" w:eastAsia="zh-CN"/>
        </w:rPr>
        <w:t>格式</w:t>
      </w:r>
      <w:r>
        <w:rPr>
          <w:rFonts w:hint="eastAsia" w:ascii="仿宋_GB2312" w:hAnsi="仿宋_GB2312" w:eastAsia="仿宋_GB2312" w:cs="仿宋_GB2312"/>
          <w:color w:val="auto"/>
          <w:szCs w:val="21"/>
          <w:highlight w:val="none"/>
        </w:rPr>
        <w:t>及要求编写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如有必要，可以增加附页，作为投标文件的组成部分。因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lang w:val="en-US" w:eastAsia="zh-CN"/>
        </w:rPr>
        <w:t>内容不完整所造成的损失由投标人承担</w:t>
      </w:r>
      <w:r>
        <w:rPr>
          <w:rFonts w:hint="eastAsia" w:ascii="仿宋_GB2312" w:hAnsi="仿宋_GB2312" w:eastAsia="仿宋_GB2312" w:cs="仿宋_GB2312"/>
          <w:color w:val="auto"/>
          <w:szCs w:val="21"/>
          <w:highlight w:val="none"/>
        </w:rPr>
        <w:t>。具体内容及格式见第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投标人在评审过程中作出的符合法律法规和招标文件规定的澄清确认，构成投标文件的组成部分。</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提供的格式编写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，并对其提交的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的真实性、合法性承担法律责任。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提供标准格式的按标准格式填列，未提供标准格式的可自行拟定。</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投标报价</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.1所有响应均按</w:t>
      </w:r>
      <w:r>
        <w:rPr>
          <w:rFonts w:hint="eastAsia" w:ascii="仿宋_GB2312" w:hAnsi="仿宋_GB2312" w:eastAsia="仿宋_GB2312" w:cs="仿宋_GB2312"/>
          <w:color w:val="auto"/>
          <w:szCs w:val="21"/>
          <w:highlight w:val="none"/>
          <w:lang w:val="en-US" w:eastAsia="zh-CN"/>
        </w:rPr>
        <w:t>人民币</w:t>
      </w:r>
      <w:r>
        <w:rPr>
          <w:rFonts w:hint="eastAsia" w:ascii="仿宋_GB2312" w:hAnsi="仿宋_GB2312" w:eastAsia="仿宋_GB2312" w:cs="仿宋_GB2312"/>
          <w:color w:val="auto"/>
          <w:szCs w:val="21"/>
          <w:highlight w:val="none"/>
        </w:rPr>
        <w:t>货币进行报价。</w:t>
      </w:r>
    </w:p>
    <w:p>
      <w:pPr>
        <w:adjustRightInd w:val="0"/>
        <w:snapToGrid w:val="0"/>
        <w:spacing w:line="360" w:lineRule="auto"/>
        <w:rPr>
          <w:rFonts w:hint="default"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 投标价格</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rPr>
      </w:pPr>
      <w:r>
        <w:rPr>
          <w:rFonts w:hint="eastAsia" w:ascii="仿宋_GB2312" w:hAnsi="仿宋_GB2312" w:eastAsia="仿宋_GB2312" w:cs="仿宋_GB2312"/>
          <w:i w:val="0"/>
          <w:iCs w:val="0"/>
          <w:color w:val="auto"/>
          <w:szCs w:val="21"/>
          <w:highlight w:val="none"/>
        </w:rPr>
        <w:t>1</w:t>
      </w:r>
      <w:r>
        <w:rPr>
          <w:rFonts w:hint="eastAsia" w:ascii="仿宋_GB2312" w:hAnsi="仿宋_GB2312" w:eastAsia="仿宋_GB2312" w:cs="仿宋_GB2312"/>
          <w:i w:val="0"/>
          <w:iCs w:val="0"/>
          <w:color w:val="auto"/>
          <w:szCs w:val="21"/>
          <w:highlight w:val="none"/>
          <w:lang w:val="en-US" w:eastAsia="zh-CN"/>
        </w:rPr>
        <w:t>3</w:t>
      </w:r>
      <w:r>
        <w:rPr>
          <w:rFonts w:hint="eastAsia" w:ascii="仿宋_GB2312" w:hAnsi="仿宋_GB2312" w:eastAsia="仿宋_GB2312" w:cs="仿宋_GB2312"/>
          <w:i w:val="0"/>
          <w:iCs w:val="0"/>
          <w:color w:val="auto"/>
          <w:szCs w:val="21"/>
          <w:highlight w:val="none"/>
        </w:rPr>
        <w:t>.2</w:t>
      </w:r>
      <w:r>
        <w:rPr>
          <w:rFonts w:hint="eastAsia" w:ascii="仿宋_GB2312" w:hAnsi="仿宋_GB2312" w:eastAsia="仿宋_GB2312" w:cs="仿宋_GB2312"/>
          <w:i w:val="0"/>
          <w:iCs w:val="0"/>
          <w:color w:val="auto"/>
          <w:szCs w:val="21"/>
          <w:highlight w:val="none"/>
          <w:lang w:val="en-US" w:eastAsia="zh-CN"/>
        </w:rPr>
        <w:t>.1</w:t>
      </w:r>
      <w:r>
        <w:rPr>
          <w:rFonts w:hint="eastAsia" w:ascii="仿宋_GB2312" w:hAnsi="仿宋_GB2312" w:eastAsia="仿宋_GB2312" w:cs="仿宋_GB2312"/>
          <w:i w:val="0"/>
          <w:iCs w:val="0"/>
          <w:color w:val="auto"/>
          <w:szCs w:val="21"/>
          <w:highlight w:val="none"/>
        </w:rPr>
        <w:t>货物</w:t>
      </w:r>
      <w:r>
        <w:rPr>
          <w:rFonts w:hint="eastAsia" w:ascii="仿宋_GB2312" w:hAnsi="仿宋_GB2312" w:eastAsia="仿宋_GB2312" w:cs="仿宋_GB2312"/>
          <w:i w:val="0"/>
          <w:iCs w:val="0"/>
          <w:color w:val="auto"/>
          <w:szCs w:val="21"/>
          <w:highlight w:val="none"/>
          <w:lang w:val="en-US" w:eastAsia="zh-CN"/>
        </w:rPr>
        <w:t>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eastAsia="zh-CN"/>
        </w:rPr>
        <w:t>该</w:t>
      </w:r>
      <w:r>
        <w:rPr>
          <w:rFonts w:hint="eastAsia" w:ascii="仿宋_GB2312" w:hAnsi="仿宋_GB2312" w:eastAsia="仿宋_GB2312" w:cs="仿宋_GB2312"/>
          <w:i w:val="0"/>
          <w:iCs w:val="0"/>
          <w:color w:val="auto"/>
          <w:szCs w:val="21"/>
          <w:highlight w:val="none"/>
        </w:rPr>
        <w:t>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13.2.2服务的投标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eastAsia="zh-CN"/>
        </w:rPr>
        <w:t>实施和完成该服务</w:t>
      </w:r>
      <w:r>
        <w:rPr>
          <w:rFonts w:hint="eastAsia" w:ascii="仿宋_GB2312" w:hAnsi="仿宋_GB2312" w:eastAsia="仿宋_GB2312" w:cs="仿宋_GB2312"/>
          <w:i w:val="0"/>
          <w:iCs w:val="0"/>
          <w:color w:val="auto"/>
          <w:szCs w:val="21"/>
          <w:highlight w:val="none"/>
          <w:lang w:val="en-US"/>
        </w:rPr>
        <w:t>的劳务费、技术服务费、仪器设备的使用和管理、保险、成本、利润、税金和按本工程实际需要的加班等一切费用，以及合同明示或暗示的所有责任、义务和一般风险。</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13.2.3工程的投标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rPr>
        <w:t>实施和完成合同</w:t>
      </w:r>
      <w:r>
        <w:rPr>
          <w:rFonts w:hint="eastAsia" w:ascii="仿宋_GB2312" w:hAnsi="仿宋_GB2312" w:eastAsia="仿宋_GB2312" w:cs="仿宋_GB2312"/>
          <w:i w:val="0"/>
          <w:iCs w:val="0"/>
          <w:color w:val="auto"/>
          <w:szCs w:val="21"/>
          <w:highlight w:val="none"/>
          <w:lang w:val="en-US" w:eastAsia="zh-CN"/>
        </w:rPr>
        <w:t>工程</w:t>
      </w:r>
      <w:r>
        <w:rPr>
          <w:rFonts w:hint="eastAsia" w:ascii="仿宋_GB2312" w:hAnsi="仿宋_GB2312" w:eastAsia="仿宋_GB2312" w:cs="仿宋_GB2312"/>
          <w:i w:val="0"/>
          <w:iCs w:val="0"/>
          <w:color w:val="auto"/>
          <w:szCs w:val="21"/>
          <w:highlight w:val="none"/>
          <w:lang w:val="en-US"/>
        </w:rPr>
        <w:t>所需的劳务、材料、机械、质检(自检)、安装、缺陷修复、管理、保险（</w:t>
      </w:r>
      <w:r>
        <w:rPr>
          <w:rFonts w:hint="eastAsia" w:ascii="仿宋_GB2312" w:hAnsi="仿宋_GB2312" w:eastAsia="仿宋_GB2312" w:cs="仿宋_GB2312"/>
          <w:i w:val="0"/>
          <w:iCs w:val="0"/>
          <w:color w:val="auto"/>
          <w:szCs w:val="21"/>
          <w:highlight w:val="none"/>
          <w:lang w:val="en-US" w:eastAsia="zh-CN"/>
        </w:rPr>
        <w:t>含</w:t>
      </w:r>
      <w:r>
        <w:rPr>
          <w:rFonts w:hint="eastAsia" w:ascii="仿宋_GB2312" w:hAnsi="仿宋_GB2312" w:eastAsia="仿宋_GB2312" w:cs="仿宋_GB2312"/>
          <w:i w:val="0"/>
          <w:iCs w:val="0"/>
          <w:color w:val="auto"/>
          <w:szCs w:val="21"/>
          <w:highlight w:val="none"/>
          <w:lang w:val="en-US"/>
        </w:rPr>
        <w:t>建筑工程一切险及第三者责任险）、税费、利润等费用，以及合同明示或暗示的所有责任、义务和一般风险。</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要求在相关表格中标明货物</w:t>
      </w:r>
      <w:r>
        <w:rPr>
          <w:rFonts w:hint="eastAsia" w:ascii="仿宋_GB2312" w:hAnsi="仿宋_GB2312" w:eastAsia="仿宋_GB2312" w:cs="仿宋_GB2312"/>
          <w:color w:val="auto"/>
          <w:szCs w:val="21"/>
          <w:highlight w:val="none"/>
          <w:lang w:val="en-US" w:eastAsia="zh-CN"/>
        </w:rPr>
        <w:t>、服务、工程</w:t>
      </w:r>
      <w:r>
        <w:rPr>
          <w:rFonts w:hint="eastAsia" w:ascii="仿宋_GB2312" w:hAnsi="仿宋_GB2312" w:eastAsia="仿宋_GB2312" w:cs="仿宋_GB2312"/>
          <w:color w:val="auto"/>
          <w:szCs w:val="21"/>
          <w:highlight w:val="none"/>
        </w:rPr>
        <w:t>及伴随服务的单价和总价，并由法定代表人（</w:t>
      </w:r>
      <w:r>
        <w:rPr>
          <w:rFonts w:hint="eastAsia" w:ascii="仿宋_GB2312" w:hAnsi="仿宋_GB2312" w:eastAsia="仿宋_GB2312" w:cs="仿宋_GB2312"/>
          <w:color w:val="auto"/>
          <w:szCs w:val="21"/>
          <w:highlight w:val="none"/>
          <w:lang w:val="en-US" w:eastAsia="zh-CN"/>
        </w:rPr>
        <w:t>其他</w:t>
      </w:r>
      <w:r>
        <w:rPr>
          <w:rFonts w:hint="eastAsia" w:ascii="仿宋_GB2312" w:hAnsi="仿宋_GB2312" w:eastAsia="仿宋_GB2312" w:cs="仿宋_GB2312"/>
          <w:color w:val="auto"/>
          <w:szCs w:val="21"/>
          <w:highlight w:val="none"/>
        </w:rPr>
        <w:t>组织的负责人）或其委托代理人签署。</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所报的各分项单价在合同履行过程中是</w:t>
      </w:r>
      <w:r>
        <w:rPr>
          <w:rFonts w:hint="eastAsia" w:ascii="仿宋_GB2312" w:hAnsi="仿宋_GB2312" w:eastAsia="仿宋_GB2312" w:cs="仿宋_GB2312"/>
          <w:b/>
          <w:bCs/>
          <w:color w:val="auto"/>
          <w:szCs w:val="21"/>
          <w:highlight w:val="none"/>
        </w:rPr>
        <w:t>固定不变的</w:t>
      </w:r>
      <w:r>
        <w:rPr>
          <w:rFonts w:hint="eastAsia" w:ascii="仿宋_GB2312" w:hAnsi="仿宋_GB2312" w:eastAsia="仿宋_GB2312" w:cs="仿宋_GB2312"/>
          <w:color w:val="auto"/>
          <w:szCs w:val="21"/>
          <w:highlight w:val="none"/>
        </w:rPr>
        <w:t>，不得以任何理由予以变更。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.5每</w:t>
      </w:r>
      <w:r>
        <w:rPr>
          <w:rFonts w:hint="eastAsia" w:ascii="仿宋_GB2312" w:hAnsi="仿宋_GB2312" w:eastAsia="仿宋_GB2312" w:cs="仿宋_GB2312"/>
          <w:color w:val="auto"/>
          <w:szCs w:val="21"/>
          <w:highlight w:val="none"/>
          <w:lang w:val="en-US" w:eastAsia="zh-CN"/>
        </w:rPr>
        <w:t>个单项（分项）</w:t>
      </w:r>
      <w:r>
        <w:rPr>
          <w:rFonts w:hint="eastAsia" w:ascii="仿宋_GB2312" w:hAnsi="仿宋_GB2312" w:eastAsia="仿宋_GB2312" w:cs="仿宋_GB2312"/>
          <w:color w:val="auto"/>
          <w:szCs w:val="21"/>
          <w:highlight w:val="none"/>
        </w:rPr>
        <w:t>货物</w:t>
      </w:r>
      <w:r>
        <w:rPr>
          <w:rFonts w:hint="eastAsia" w:ascii="仿宋_GB2312" w:hAnsi="仿宋_GB2312" w:eastAsia="仿宋_GB2312" w:cs="仿宋_GB2312"/>
          <w:color w:val="auto"/>
          <w:szCs w:val="21"/>
          <w:highlight w:val="none"/>
          <w:lang w:val="en-US" w:eastAsia="zh-CN"/>
        </w:rPr>
        <w:t>、服务、工程</w:t>
      </w:r>
      <w:r>
        <w:rPr>
          <w:rFonts w:hint="eastAsia" w:ascii="仿宋_GB2312" w:hAnsi="仿宋_GB2312" w:eastAsia="仿宋_GB2312" w:cs="仿宋_GB2312"/>
          <w:color w:val="auto"/>
          <w:szCs w:val="21"/>
          <w:highlight w:val="none"/>
        </w:rPr>
        <w:t>只能有一个</w:t>
      </w:r>
      <w:r>
        <w:rPr>
          <w:rFonts w:hint="eastAsia" w:ascii="仿宋_GB2312" w:hAnsi="仿宋_GB2312" w:eastAsia="仿宋_GB2312" w:cs="仿宋_GB2312"/>
          <w:color w:val="auto"/>
          <w:szCs w:val="21"/>
          <w:highlight w:val="none"/>
          <w:lang w:eastAsia="zh-CN"/>
        </w:rPr>
        <w:t>投标报价</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不接受具有附加条件的报价。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.6除非</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另有规定，</w:t>
      </w:r>
      <w:r>
        <w:rPr>
          <w:rFonts w:hint="eastAsia" w:ascii="仿宋_GB2312" w:hAnsi="仿宋_GB2312" w:eastAsia="仿宋_GB2312" w:cs="仿宋_GB2312"/>
          <w:color w:val="auto"/>
          <w:szCs w:val="21"/>
          <w:highlight w:val="none"/>
          <w:lang w:val="en-US" w:eastAsia="zh-CN"/>
        </w:rPr>
        <w:t>投标报价</w:t>
      </w:r>
      <w:r>
        <w:rPr>
          <w:rFonts w:hint="eastAsia" w:ascii="仿宋_GB2312" w:hAnsi="仿宋_GB2312" w:eastAsia="仿宋_GB2312" w:cs="仿宋_GB2312"/>
          <w:color w:val="auto"/>
          <w:szCs w:val="21"/>
          <w:highlight w:val="none"/>
        </w:rPr>
        <w:t>原则上精确到</w:t>
      </w:r>
      <w:r>
        <w:rPr>
          <w:rFonts w:hint="eastAsia" w:ascii="仿宋_GB2312" w:hAnsi="仿宋_GB2312" w:eastAsia="仿宋_GB2312" w:cs="仿宋_GB2312"/>
          <w:b/>
          <w:bCs/>
          <w:color w:val="auto"/>
          <w:szCs w:val="21"/>
          <w:highlight w:val="none"/>
        </w:rPr>
        <w:t>小数点后两位</w:t>
      </w:r>
      <w:r>
        <w:rPr>
          <w:rFonts w:hint="eastAsia" w:ascii="仿宋_GB2312" w:hAnsi="仿宋_GB2312" w:eastAsia="仿宋_GB2312" w:cs="仿宋_GB2312"/>
          <w:color w:val="auto"/>
          <w:szCs w:val="21"/>
          <w:highlight w:val="none"/>
        </w:rPr>
        <w:t>。</w:t>
      </w:r>
    </w:p>
    <w:p>
      <w:pPr>
        <w:adjustRightInd w:val="0"/>
        <w:snapToGrid w:val="0"/>
        <w:spacing w:line="360" w:lineRule="auto"/>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投标保证金</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应提交</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.1款中规定的</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，并作为其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存在下列情形的，</w:t>
      </w:r>
      <w:r>
        <w:rPr>
          <w:rFonts w:hint="eastAsia" w:ascii="仿宋_GB2312" w:hAnsi="仿宋_GB2312" w:eastAsia="仿宋_GB2312" w:cs="仿宋_GB2312"/>
          <w:b/>
          <w:bCs/>
          <w:color w:val="auto"/>
          <w:szCs w:val="21"/>
          <w:highlight w:val="none"/>
          <w:lang w:val="en-US" w:eastAsia="zh-CN"/>
        </w:rPr>
        <w:t>投标保证金</w:t>
      </w:r>
      <w:r>
        <w:rPr>
          <w:rFonts w:hint="eastAsia" w:ascii="仿宋_GB2312" w:hAnsi="仿宋_GB2312" w:eastAsia="仿宋_GB2312" w:cs="仿宋_GB2312"/>
          <w:b/>
          <w:bCs/>
          <w:color w:val="auto"/>
          <w:szCs w:val="21"/>
          <w:highlight w:val="none"/>
        </w:rPr>
        <w:t>不予退还:</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val="en-US" w:eastAsia="zh-CN"/>
        </w:rPr>
        <w:t>递</w:t>
      </w:r>
      <w:r>
        <w:rPr>
          <w:rFonts w:hint="eastAsia" w:ascii="仿宋_GB2312" w:hAnsi="仿宋_GB2312" w:eastAsia="仿宋_GB2312" w:cs="仿宋_GB2312"/>
          <w:color w:val="auto"/>
          <w:szCs w:val="21"/>
          <w:highlight w:val="none"/>
        </w:rPr>
        <w:t>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截止时间后撤回</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中提供虚假材料的；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后除因不可抗力或者</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认可的情形以外，不按本须知第3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条的规定与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签订合同的；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后不按本须知第3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条的规定提交履约保证金的;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串通投标的；</w:t>
      </w:r>
    </w:p>
    <w:p>
      <w:pPr>
        <w:pStyle w:val="24"/>
        <w:keepNext w:val="0"/>
        <w:keepLines w:val="0"/>
        <w:pageBreakBefore w:val="0"/>
        <w:widowControl w:val="0"/>
        <w:kinsoku/>
        <w:wordWrap/>
        <w:overflowPunct/>
        <w:topLinePunct w:val="0"/>
        <w:bidi w:val="0"/>
        <w:spacing w:before="0" w:beforeLines="0" w:after="0" w:afterLines="0"/>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（6）因作假而被取消中标资格的；</w:t>
      </w:r>
    </w:p>
    <w:p>
      <w:pPr>
        <w:pStyle w:val="24"/>
        <w:keepNext w:val="0"/>
        <w:keepLines w:val="0"/>
        <w:pageBreakBefore w:val="0"/>
        <w:widowControl w:val="0"/>
        <w:kinsoku/>
        <w:wordWrap/>
        <w:overflowPunct/>
        <w:topLinePunct w:val="0"/>
        <w:bidi w:val="0"/>
        <w:spacing w:before="0" w:beforeLines="0" w:after="0" w:afterLines="0"/>
        <w:textAlignment w:val="auto"/>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（7）因投诉属实被取消中标资格的；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（8）招标文件规定的其他保证金不予退还情形或存在其他违法违规行为的。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.4联合体参加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的，可以由联合体中的一方或者共同提交</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。以一方名义提交</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的，对联合体各方均具有约束力。</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的退还</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.5.1</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应在与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w:t>
      </w:r>
      <w:r>
        <w:rPr>
          <w:rFonts w:hint="eastAsia" w:ascii="仿宋_GB2312" w:hAnsi="仿宋_GB2312" w:eastAsia="仿宋_GB2312" w:cs="仿宋_GB2312"/>
          <w:color w:val="auto"/>
          <w:szCs w:val="21"/>
          <w:highlight w:val="none"/>
          <w:lang w:val="en-US" w:eastAsia="zh-CN"/>
        </w:rPr>
        <w:t>了</w:t>
      </w:r>
      <w:r>
        <w:rPr>
          <w:rFonts w:hint="eastAsia" w:ascii="仿宋_GB2312" w:hAnsi="仿宋_GB2312" w:eastAsia="仿宋_GB2312" w:cs="仿宋_GB2312"/>
          <w:color w:val="auto"/>
          <w:szCs w:val="21"/>
          <w:highlight w:val="none"/>
        </w:rPr>
        <w:t>合同</w:t>
      </w:r>
      <w:r>
        <w:rPr>
          <w:rFonts w:hint="eastAsia" w:ascii="仿宋_GB2312" w:hAnsi="仿宋_GB2312" w:eastAsia="仿宋_GB2312" w:cs="仿宋_GB2312"/>
          <w:color w:val="auto"/>
          <w:szCs w:val="21"/>
          <w:highlight w:val="none"/>
          <w:lang w:val="en-US" w:eastAsia="zh-CN"/>
        </w:rPr>
        <w:t>且递交了履约保证金（或履约保函）</w:t>
      </w:r>
      <w:r>
        <w:rPr>
          <w:rFonts w:hint="eastAsia" w:ascii="仿宋_GB2312" w:hAnsi="仿宋_GB2312" w:eastAsia="仿宋_GB2312" w:cs="仿宋_GB2312"/>
          <w:color w:val="auto"/>
          <w:szCs w:val="21"/>
          <w:highlight w:val="none"/>
        </w:rPr>
        <w:t>之日起5个工作日内无息退还，</w:t>
      </w:r>
      <w:r>
        <w:rPr>
          <w:rFonts w:hint="eastAsia" w:ascii="仿宋_GB2312" w:hAnsi="仿宋_GB2312" w:eastAsia="仿宋_GB2312" w:cs="仿宋_GB2312"/>
          <w:color w:val="auto"/>
          <w:szCs w:val="21"/>
          <w:highlight w:val="none"/>
          <w:lang w:val="en-US" w:eastAsia="zh-CN"/>
        </w:rPr>
        <w:t>中标人应</w:t>
      </w:r>
      <w:r>
        <w:rPr>
          <w:rFonts w:hint="eastAsia" w:ascii="仿宋_GB2312" w:hAnsi="仿宋_GB2312" w:eastAsia="仿宋_GB2312" w:cs="仿宋_GB2312"/>
          <w:color w:val="auto"/>
          <w:szCs w:val="21"/>
          <w:highlight w:val="none"/>
        </w:rPr>
        <w:t>及时办理</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退还手续。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.5.2未</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将在</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通知书发出之日起</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个工作日内无息退还。</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应及时联系保证金收受机构办理退还</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截止时间前撤回已提交的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应自</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收到</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书面撤回通知之日起</w:t>
      </w: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个工作日内，及时办理</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退还手续。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.5.4 采</w:t>
      </w:r>
      <w:r>
        <w:rPr>
          <w:rFonts w:hint="eastAsia" w:ascii="仿宋_GB2312" w:hAnsi="仿宋_GB2312" w:eastAsia="仿宋_GB2312" w:cs="仿宋_GB2312"/>
          <w:color w:val="auto"/>
          <w:szCs w:val="21"/>
          <w:highlight w:val="none"/>
          <w:lang w:val="en-US" w:eastAsia="zh-CN"/>
        </w:rPr>
        <w:t>用</w:t>
      </w:r>
      <w:r>
        <w:rPr>
          <w:rFonts w:hint="eastAsia" w:ascii="仿宋_GB2312" w:hAnsi="仿宋_GB2312" w:eastAsia="仿宋_GB2312" w:cs="仿宋_GB2312"/>
          <w:color w:val="auto"/>
          <w:szCs w:val="21"/>
          <w:highlight w:val="none"/>
        </w:rPr>
        <w:t>保函</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rPr>
        <w:t>退回</w:t>
      </w:r>
      <w:r>
        <w:rPr>
          <w:rFonts w:hint="eastAsia" w:ascii="仿宋_GB2312" w:hAnsi="仿宋_GB2312" w:eastAsia="仿宋_GB2312" w:cs="仿宋_GB2312"/>
          <w:color w:val="auto"/>
          <w:szCs w:val="21"/>
          <w:highlight w:val="none"/>
          <w:lang w:val="en-US" w:eastAsia="zh-CN"/>
        </w:rPr>
        <w:t>必须由提供该保函的投标人出具的收据</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.6 因</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自身原因导致无法及时退还的，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将不承担相应责任。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rPr>
        <w:t>.证明标的的合格性和符合</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规定的技术文件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应提交证明文件，证明其</w:t>
      </w:r>
      <w:r>
        <w:rPr>
          <w:rFonts w:hint="eastAsia" w:ascii="仿宋_GB2312" w:hAnsi="仿宋_GB2312" w:eastAsia="仿宋_GB2312" w:cs="仿宋_GB2312"/>
          <w:color w:val="auto"/>
          <w:szCs w:val="21"/>
          <w:highlight w:val="none"/>
          <w:lang w:val="en-US" w:eastAsia="zh-CN"/>
        </w:rPr>
        <w:t>投标</w:t>
      </w:r>
      <w:r>
        <w:rPr>
          <w:rFonts w:hint="eastAsia" w:ascii="仿宋_GB2312" w:hAnsi="仿宋_GB2312" w:eastAsia="仿宋_GB2312" w:cs="仿宋_GB2312"/>
          <w:color w:val="auto"/>
          <w:szCs w:val="21"/>
          <w:highlight w:val="none"/>
        </w:rPr>
        <w:t>内容符合</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规定。该证明文件是</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（1）主要技术指标和性能的详细说明；</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开始使用至</w:t>
      </w:r>
      <w:r>
        <w:rPr>
          <w:rFonts w:hint="eastAsia" w:ascii="仿宋_GB2312" w:hAnsi="仿宋_GB2312" w:eastAsia="仿宋_GB2312" w:cs="仿宋_GB2312"/>
          <w:color w:val="auto"/>
          <w:szCs w:val="21"/>
          <w:highlight w:val="none"/>
          <w:lang w:val="en-US" w:eastAsia="zh-CN"/>
        </w:rPr>
        <w:t>合同约定</w:t>
      </w:r>
      <w:r>
        <w:rPr>
          <w:rFonts w:hint="eastAsia" w:ascii="仿宋_GB2312" w:hAnsi="仿宋_GB2312" w:eastAsia="仿宋_GB2312" w:cs="仿宋_GB2312"/>
          <w:color w:val="auto"/>
          <w:szCs w:val="21"/>
          <w:highlight w:val="none"/>
        </w:rPr>
        <w:t>的保质期内正常、连续地使用所必须的备件和专用工具清单，包括备件和专用工具的货源及现行价格</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如有）</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（3）对照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技术规格，逐条说明所提供货物</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工程和服务及伴随的</w:t>
      </w:r>
      <w:r>
        <w:rPr>
          <w:rFonts w:hint="eastAsia" w:ascii="仿宋_GB2312" w:hAnsi="仿宋_GB2312" w:eastAsia="仿宋_GB2312" w:cs="仿宋_GB2312"/>
          <w:color w:val="auto"/>
          <w:szCs w:val="21"/>
          <w:highlight w:val="none"/>
          <w:lang w:val="en-US" w:eastAsia="zh-CN"/>
        </w:rPr>
        <w:t>附加部分</w:t>
      </w:r>
      <w:r>
        <w:rPr>
          <w:rFonts w:hint="eastAsia" w:ascii="仿宋_GB2312" w:hAnsi="仿宋_GB2312" w:eastAsia="仿宋_GB2312" w:cs="仿宋_GB2312"/>
          <w:color w:val="auto"/>
          <w:szCs w:val="21"/>
          <w:highlight w:val="none"/>
        </w:rPr>
        <w:t>已对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的技术规格做出了实质性的响应，或申明与技术规格条文的偏差和例外。</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投标有效期</w:t>
      </w:r>
    </w:p>
    <w:p>
      <w:pPr>
        <w:adjustRightInd w:val="0"/>
        <w:snapToGrid w:val="0"/>
        <w:spacing w:line="360" w:lineRule="auto"/>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.1款中规定的</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b w:val="0"/>
          <w:bCs w:val="0"/>
          <w:color w:val="auto"/>
          <w:szCs w:val="21"/>
          <w:highlight w:val="none"/>
        </w:rPr>
        <w:t>内保持有效。</w:t>
      </w:r>
      <w:r>
        <w:rPr>
          <w:rFonts w:hint="eastAsia" w:ascii="仿宋_GB2312" w:hAnsi="仿宋_GB2312" w:eastAsia="仿宋_GB2312" w:cs="仿宋_GB2312"/>
          <w:b w:val="0"/>
          <w:bCs w:val="0"/>
          <w:color w:val="auto"/>
          <w:szCs w:val="21"/>
          <w:highlight w:val="none"/>
          <w:lang w:eastAsia="zh-CN"/>
        </w:rPr>
        <w:t>投标有效期</w:t>
      </w:r>
      <w:r>
        <w:rPr>
          <w:rFonts w:hint="eastAsia" w:ascii="仿宋_GB2312" w:hAnsi="仿宋_GB2312" w:eastAsia="仿宋_GB2312" w:cs="仿宋_GB2312"/>
          <w:b w:val="0"/>
          <w:bCs w:val="0"/>
          <w:color w:val="auto"/>
          <w:szCs w:val="21"/>
          <w:highlight w:val="none"/>
        </w:rPr>
        <w:t>不满足要求的响应，其</w:t>
      </w:r>
      <w:r>
        <w:rPr>
          <w:rFonts w:hint="eastAsia" w:ascii="仿宋_GB2312" w:hAnsi="仿宋_GB2312" w:eastAsia="仿宋_GB2312" w:cs="仿宋_GB2312"/>
          <w:b w:val="0"/>
          <w:bCs w:val="0"/>
          <w:color w:val="auto"/>
          <w:szCs w:val="21"/>
          <w:highlight w:val="none"/>
          <w:lang w:eastAsia="zh-CN"/>
        </w:rPr>
        <w:t>投标文件</w:t>
      </w:r>
      <w:r>
        <w:rPr>
          <w:rFonts w:hint="eastAsia" w:ascii="仿宋_GB2312" w:hAnsi="仿宋_GB2312" w:eastAsia="仿宋_GB2312" w:cs="仿宋_GB2312"/>
          <w:b w:val="0"/>
          <w:bCs w:val="0"/>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val="0"/>
          <w:bCs w:val="0"/>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.2在特殊情况下，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可根据实际情况，在原</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截止之前，要求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延长</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。接受该要求的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将不会被要求和允许修正其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，且本须知中有关</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的要求须在延长的有效期内继续有效。</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可以拒绝延长</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的要求，其</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将及时无息退还。上述要求和答复都应以书面形式提交。</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b/>
          <w:color w:val="auto"/>
          <w:szCs w:val="21"/>
          <w:highlight w:val="none"/>
          <w:lang w:eastAsia="zh-CN"/>
        </w:rPr>
        <w:t>投标文件</w:t>
      </w:r>
      <w:r>
        <w:rPr>
          <w:rFonts w:hint="eastAsia" w:ascii="仿宋_GB2312" w:hAnsi="仿宋_GB2312" w:eastAsia="仿宋_GB2312" w:cs="仿宋_GB2312"/>
          <w:b/>
          <w:color w:val="auto"/>
          <w:szCs w:val="21"/>
          <w:highlight w:val="none"/>
        </w:rPr>
        <w:t>的签署及规定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.1款中的规定，准备和递交</w:t>
      </w:r>
      <w:r>
        <w:rPr>
          <w:rFonts w:hint="eastAsia" w:ascii="仿宋_GB2312" w:hAnsi="仿宋_GB2312" w:eastAsia="仿宋_GB2312" w:cs="仿宋_GB2312"/>
          <w:color w:val="auto"/>
          <w:szCs w:val="21"/>
          <w:highlight w:val="none"/>
          <w:lang w:val="en-US" w:eastAsia="zh-CN"/>
        </w:rPr>
        <w:t>纸质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正本、副本和电</w:t>
      </w:r>
      <w:r>
        <w:rPr>
          <w:rFonts w:hint="eastAsia" w:ascii="仿宋_GB2312" w:hAnsi="仿宋_GB2312" w:eastAsia="仿宋_GB2312" w:cs="仿宋_GB2312"/>
          <w:color w:val="auto"/>
          <w:szCs w:val="21"/>
          <w:highlight w:val="none"/>
          <w:lang w:val="en-US" w:eastAsia="zh-CN"/>
        </w:rPr>
        <w:t>子投标文件</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.2每份</w:t>
      </w:r>
      <w:r>
        <w:rPr>
          <w:rFonts w:hint="eastAsia" w:ascii="仿宋_GB2312" w:hAnsi="仿宋_GB2312" w:eastAsia="仿宋_GB2312" w:cs="仿宋_GB2312"/>
          <w:color w:val="auto"/>
          <w:szCs w:val="21"/>
          <w:highlight w:val="none"/>
          <w:lang w:val="en-US" w:eastAsia="zh-CN"/>
        </w:rPr>
        <w:t>纸质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封皮须清楚地标明“正本”或“副本”。若正本和副本不符，以正本为准。</w:t>
      </w:r>
      <w:r>
        <w:rPr>
          <w:rFonts w:hint="eastAsia" w:ascii="仿宋_GB2312" w:hAnsi="仿宋_GB2312" w:eastAsia="仿宋_GB2312" w:cs="仿宋_GB2312"/>
          <w:color w:val="auto"/>
          <w:szCs w:val="21"/>
          <w:highlight w:val="none"/>
          <w:lang w:val="en-US" w:eastAsia="zh-CN"/>
        </w:rPr>
        <w:t>正本一份，副本份数见投标人须知前附表。</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投标文件的制作应满足以下规定：</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17.3.1 投标文件由投标人使用电子采购平台自带的投标文件/投标文件制作工具制作生成。</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17.3.2 投标人在编制投标文件时应建立分组目录，并按照标签提示导入相关内容。</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17.3.3 投标文件中的报价一览表等数据文件应与招标文件提供的报价一览表等数据文件格式一致。</w:t>
      </w:r>
    </w:p>
    <w:p>
      <w:pPr>
        <w:adjustRightInd w:val="0"/>
        <w:snapToGrid w:val="0"/>
        <w:spacing w:line="360" w:lineRule="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4因投标人自身原因而导致投标文件无法导入电子采购平台电子开标、评标系统，该投标文件视为无效，投标人自行承担由此导致的全部责任和损失</w:t>
      </w:r>
      <w:r>
        <w:rPr>
          <w:rFonts w:hint="eastAsia" w:ascii="仿宋_GB2312" w:hAnsi="仿宋_GB2312" w:eastAsia="仿宋_GB2312" w:cs="仿宋_GB2312"/>
          <w:color w:val="auto"/>
          <w:szCs w:val="21"/>
          <w:highlight w:val="none"/>
          <w:lang w:eastAsia="zh-CN"/>
        </w:rPr>
        <w:t>。</w:t>
      </w:r>
    </w:p>
    <w:p>
      <w:pPr>
        <w:pStyle w:val="24"/>
        <w:ind w:left="0" w:leftChars="0" w:firstLine="0" w:firstLineChars="0"/>
        <w:rPr>
          <w:rFonts w:hint="default"/>
          <w:color w:val="auto"/>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五 </w:t>
      </w:r>
      <w:r>
        <w:rPr>
          <w:rFonts w:hint="eastAsia" w:ascii="仿宋_GB2312" w:hAnsi="仿宋_GB2312" w:eastAsia="仿宋_GB2312" w:cs="仿宋_GB2312"/>
          <w:color w:val="auto"/>
          <w:sz w:val="28"/>
          <w:szCs w:val="28"/>
          <w:highlight w:val="none"/>
          <w:lang w:eastAsia="zh-CN"/>
        </w:rPr>
        <w:t>投标文件</w:t>
      </w:r>
      <w:r>
        <w:rPr>
          <w:rFonts w:hint="eastAsia" w:ascii="仿宋_GB2312" w:hAnsi="仿宋_GB2312" w:eastAsia="仿宋_GB2312" w:cs="仿宋_GB2312"/>
          <w:color w:val="auto"/>
          <w:sz w:val="28"/>
          <w:szCs w:val="28"/>
          <w:highlight w:val="none"/>
        </w:rPr>
        <w:t>的递交</w:t>
      </w:r>
    </w:p>
    <w:p>
      <w:pPr>
        <w:adjustRightInd w:val="0"/>
        <w:snapToGrid w:val="0"/>
        <w:spacing w:line="360" w:lineRule="auto"/>
        <w:rPr>
          <w:rFonts w:ascii="仿宋_GB2312" w:hAnsi="仿宋_GB2312" w:eastAsia="仿宋_GB2312" w:cs="仿宋_GB2312"/>
          <w:b/>
          <w:bCs/>
          <w:strike w:val="0"/>
          <w:dstrike w:val="0"/>
          <w:color w:val="auto"/>
          <w:szCs w:val="21"/>
          <w:highlight w:val="none"/>
        </w:rPr>
      </w:pPr>
      <w:r>
        <w:rPr>
          <w:rFonts w:hint="eastAsia" w:ascii="仿宋_GB2312" w:hAnsi="仿宋_GB2312" w:eastAsia="仿宋_GB2312" w:cs="仿宋_GB2312"/>
          <w:b/>
          <w:bCs/>
          <w:strike w:val="0"/>
          <w:dstrike w:val="0"/>
          <w:color w:val="auto"/>
          <w:szCs w:val="21"/>
          <w:highlight w:val="none"/>
        </w:rPr>
        <w:t>1</w:t>
      </w:r>
      <w:r>
        <w:rPr>
          <w:rFonts w:hint="eastAsia" w:ascii="仿宋_GB2312" w:hAnsi="仿宋_GB2312" w:eastAsia="仿宋_GB2312" w:cs="仿宋_GB2312"/>
          <w:b/>
          <w:bCs/>
          <w:strike w:val="0"/>
          <w:dstrike w:val="0"/>
          <w:color w:val="auto"/>
          <w:szCs w:val="21"/>
          <w:highlight w:val="none"/>
          <w:lang w:val="en-US" w:eastAsia="zh-CN"/>
        </w:rPr>
        <w:t>8</w:t>
      </w:r>
      <w:r>
        <w:rPr>
          <w:rFonts w:hint="eastAsia" w:ascii="仿宋_GB2312" w:hAnsi="仿宋_GB2312" w:eastAsia="仿宋_GB2312" w:cs="仿宋_GB2312"/>
          <w:b/>
          <w:bCs/>
          <w:strike w:val="0"/>
          <w:dstrike w:val="0"/>
          <w:color w:val="auto"/>
          <w:szCs w:val="21"/>
          <w:highlight w:val="none"/>
        </w:rPr>
        <w:t>.</w:t>
      </w:r>
      <w:r>
        <w:rPr>
          <w:rFonts w:hint="eastAsia" w:ascii="仿宋_GB2312" w:hAnsi="仿宋_GB2312" w:eastAsia="仿宋_GB2312" w:cs="仿宋_GB2312"/>
          <w:b/>
          <w:bCs/>
          <w:strike w:val="0"/>
          <w:dstrike w:val="0"/>
          <w:color w:val="auto"/>
          <w:szCs w:val="21"/>
          <w:highlight w:val="none"/>
          <w:lang w:eastAsia="zh-CN"/>
        </w:rPr>
        <w:t>投标文件</w:t>
      </w:r>
      <w:r>
        <w:rPr>
          <w:rFonts w:hint="eastAsia" w:ascii="仿宋_GB2312" w:hAnsi="仿宋_GB2312" w:eastAsia="仿宋_GB2312" w:cs="仿宋_GB2312"/>
          <w:b/>
          <w:bCs/>
          <w:strike w:val="0"/>
          <w:dstrike w:val="0"/>
          <w:color w:val="auto"/>
          <w:szCs w:val="21"/>
          <w:highlight w:val="none"/>
        </w:rPr>
        <w:t>的密封和标记</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应将</w:t>
      </w:r>
      <w:r>
        <w:rPr>
          <w:rFonts w:hint="eastAsia" w:ascii="仿宋_GB2312" w:hAnsi="仿宋_GB2312" w:eastAsia="仿宋_GB2312" w:cs="仿宋_GB2312"/>
          <w:strike w:val="0"/>
          <w:dstrike w:val="0"/>
          <w:color w:val="auto"/>
          <w:szCs w:val="21"/>
          <w:highlight w:val="none"/>
          <w:lang w:val="en-US" w:eastAsia="zh-CN"/>
        </w:rPr>
        <w:t>纸质</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密封，将正本和所有的副本密封，并进行包封。</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.2所有包装封皮上均应：</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（1）注明项目名称、包号、</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名称。</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（2）加盖</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单位公章。</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.3如果</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未按上述要求密封，其</w:t>
      </w:r>
      <w:r>
        <w:rPr>
          <w:rFonts w:hint="eastAsia" w:ascii="仿宋_GB2312" w:hAnsi="仿宋_GB2312" w:eastAsia="仿宋_GB2312" w:cs="仿宋_GB2312"/>
          <w:strike w:val="0"/>
          <w:dstrike w:val="0"/>
          <w:color w:val="auto"/>
          <w:szCs w:val="21"/>
          <w:highlight w:val="none"/>
          <w:lang w:val="en-US" w:eastAsia="zh-CN"/>
        </w:rPr>
        <w:t>纸质</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将被</w:t>
      </w:r>
      <w:r>
        <w:rPr>
          <w:rFonts w:hint="eastAsia" w:ascii="仿宋_GB2312" w:hAnsi="仿宋_GB2312" w:eastAsia="仿宋_GB2312" w:cs="仿宋_GB2312"/>
          <w:b/>
          <w:bCs/>
          <w:strike w:val="0"/>
          <w:dstrike w:val="0"/>
          <w:color w:val="auto"/>
          <w:szCs w:val="21"/>
          <w:highlight w:val="none"/>
        </w:rPr>
        <w:t>拒绝接收</w:t>
      </w:r>
      <w:r>
        <w:rPr>
          <w:rFonts w:hint="eastAsia" w:ascii="仿宋_GB2312" w:hAnsi="仿宋_GB2312" w:eastAsia="仿宋_GB2312" w:cs="仿宋_GB2312"/>
          <w:strike w:val="0"/>
          <w:dstrike w:val="0"/>
          <w:color w:val="auto"/>
          <w:szCs w:val="21"/>
          <w:highlight w:val="none"/>
        </w:rPr>
        <w:t>。</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.递交</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lang w:val="en-US" w:eastAsia="zh-CN"/>
        </w:rPr>
        <w:t>的递交</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招标公告”规定的递交投标文件</w:t>
      </w:r>
      <w:r>
        <w:rPr>
          <w:rFonts w:hint="eastAsia" w:ascii="仿宋_GB2312" w:hAnsi="仿宋_GB2312" w:eastAsia="仿宋_GB2312" w:cs="仿宋_GB2312"/>
          <w:color w:val="auto"/>
          <w:szCs w:val="21"/>
          <w:highlight w:val="none"/>
        </w:rPr>
        <w:t>截止时间前</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通过电子采购平台将加密的投标文件上传，并保存上传成功后系统自动生存的电子签收凭证，递交时间即为电子签收凭证时间。中标人在收到中标通知书后，签订合同前须向招标人提交与电子文档一致的纸质投标文件一正一副</w:t>
      </w:r>
      <w:r>
        <w:rPr>
          <w:rStyle w:val="21"/>
          <w:rFonts w:hint="eastAsia" w:ascii="仿宋_GB2312" w:hAnsi="仿宋_GB2312" w:eastAsia="仿宋_GB2312" w:cs="仿宋_GB2312"/>
          <w:b/>
          <w:bCs/>
          <w:color w:val="auto"/>
          <w:szCs w:val="21"/>
          <w:highlight w:val="none"/>
          <w:lang w:val="en-US" w:eastAsia="zh-CN"/>
        </w:rPr>
        <w:footnoteReference w:id="0"/>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 xml:space="preserve"> 投标人应充分考虑上传文件时的不可预见因素，未在投标文件递交截止时间前完成电子投标文件上传的，视为逾期送达，招标人（电子采购平台）将拒绝接收。</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19.3</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有权按本须知的规定，延迟递交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截止时间。在此情况下，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和</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受递交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20</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的修改与撤回</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 xml:space="preserve"> 在本章第18.1款规定的投标文件递交截止时间前，</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可以</w:t>
      </w:r>
      <w:r>
        <w:rPr>
          <w:rFonts w:hint="eastAsia" w:ascii="仿宋_GB2312" w:hAnsi="仿宋_GB2312" w:eastAsia="仿宋_GB2312" w:cs="仿宋_GB2312"/>
          <w:color w:val="auto"/>
          <w:szCs w:val="21"/>
          <w:highlight w:val="none"/>
        </w:rPr>
        <w:t>修改或撤回</w:t>
      </w:r>
      <w:r>
        <w:rPr>
          <w:rFonts w:hint="eastAsia" w:ascii="仿宋_GB2312" w:hAnsi="仿宋_GB2312" w:eastAsia="仿宋_GB2312" w:cs="仿宋_GB2312"/>
          <w:color w:val="auto"/>
          <w:szCs w:val="21"/>
          <w:highlight w:val="none"/>
          <w:lang w:val="en-US" w:eastAsia="zh-CN"/>
        </w:rPr>
        <w:t>已递交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投标人对加密的投标文件进行撤回的，应在电子采购平台直接进行撤回操作；投标人对加密的投标文件进行修改的，应按本章的规定进行编制、加密和递交，并在投标文件递交截止时间前完成上传。</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color w:val="auto"/>
          <w:szCs w:val="21"/>
          <w:highlight w:val="none"/>
          <w:lang w:val="en-US" w:eastAsia="zh-CN"/>
        </w:rPr>
        <w:t>递</w:t>
      </w:r>
      <w:r>
        <w:rPr>
          <w:rFonts w:hint="eastAsia" w:ascii="仿宋_GB2312" w:hAnsi="仿宋_GB2312" w:eastAsia="仿宋_GB2312" w:cs="仿宋_GB2312"/>
          <w:color w:val="auto"/>
          <w:szCs w:val="21"/>
          <w:highlight w:val="none"/>
        </w:rPr>
        <w:t>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截止时间之后，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不得对其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做任何修改。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对所接收的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概不退回。</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六 </w:t>
      </w:r>
      <w:r>
        <w:rPr>
          <w:rFonts w:hint="eastAsia" w:ascii="仿宋_GB2312" w:hAnsi="仿宋_GB2312" w:eastAsia="仿宋_GB2312" w:cs="仿宋_GB2312"/>
          <w:color w:val="auto"/>
          <w:sz w:val="28"/>
          <w:szCs w:val="28"/>
          <w:highlight w:val="none"/>
          <w:lang w:val="en-US" w:eastAsia="zh-CN"/>
        </w:rPr>
        <w:t>投标文件的</w:t>
      </w:r>
      <w:r>
        <w:rPr>
          <w:rFonts w:hint="eastAsia" w:ascii="仿宋_GB2312" w:hAnsi="仿宋_GB2312" w:eastAsia="仿宋_GB2312" w:cs="仿宋_GB2312"/>
          <w:color w:val="auto"/>
          <w:sz w:val="28"/>
          <w:szCs w:val="28"/>
          <w:highlight w:val="none"/>
        </w:rPr>
        <w:t>评审</w:t>
      </w:r>
    </w:p>
    <w:p>
      <w:pPr>
        <w:adjustRightInd w:val="0"/>
        <w:snapToGrid w:val="0"/>
        <w:spacing w:line="360" w:lineRule="auto"/>
        <w:rPr>
          <w:rFonts w:hint="default" w:ascii="仿宋_GB2312" w:hAnsi="仿宋_GB2312" w:eastAsia="仿宋_GB2312" w:cs="仿宋_GB2312"/>
          <w:b/>
          <w:bCs/>
          <w:color w:val="auto"/>
          <w:szCs w:val="21"/>
          <w:highlight w:val="none"/>
          <w:lang w:val="en-US"/>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投标文件开启会议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将按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.1款中规定的时间和地点召开</w:t>
      </w:r>
      <w:r>
        <w:rPr>
          <w:rFonts w:hint="eastAsia" w:ascii="仿宋_GB2312" w:hAnsi="仿宋_GB2312" w:eastAsia="仿宋_GB2312" w:cs="仿宋_GB2312"/>
          <w:color w:val="auto"/>
          <w:szCs w:val="21"/>
          <w:highlight w:val="none"/>
          <w:lang w:val="en-US" w:eastAsia="zh-CN"/>
        </w:rPr>
        <w:t>投标文件开启会</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公布投标人名称、投标保证金递交情况、解密情况及其他内容，并记录在案。</w:t>
      </w:r>
      <w:r>
        <w:rPr>
          <w:rFonts w:hint="eastAsia" w:ascii="仿宋_GB2312" w:hAnsi="仿宋_GB2312" w:eastAsia="仿宋_GB2312" w:cs="仿宋_GB2312"/>
          <w:color w:val="auto"/>
          <w:szCs w:val="21"/>
          <w:highlight w:val="none"/>
        </w:rPr>
        <w:t>并邀请所有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代表参加</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投标人代表不参加投标文件开启会的，视为该投标人默认投标文件开启会的结果。</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代表对</w:t>
      </w:r>
      <w:r>
        <w:rPr>
          <w:rFonts w:hint="eastAsia" w:ascii="仿宋_GB2312" w:hAnsi="仿宋_GB2312" w:eastAsia="仿宋_GB2312" w:cs="仿宋_GB2312"/>
          <w:color w:val="auto"/>
          <w:szCs w:val="21"/>
          <w:highlight w:val="none"/>
          <w:lang w:val="en-US" w:eastAsia="zh-CN"/>
        </w:rPr>
        <w:t>投标文件开启会</w:t>
      </w:r>
      <w:r>
        <w:rPr>
          <w:rFonts w:hint="eastAsia" w:ascii="仿宋_GB2312" w:hAnsi="仿宋_GB2312" w:eastAsia="仿宋_GB2312" w:cs="仿宋_GB2312"/>
          <w:color w:val="auto"/>
          <w:szCs w:val="21"/>
          <w:highlight w:val="none"/>
        </w:rPr>
        <w:t>过程有疑义，以及认为</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相关工作人员有需要回避的情形的，应当场提出询问或者回避申请。</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21.3 招标人在投标人解密截止时间后，对投标人解密成功的投标文件进行解密。</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21.4 若某一标段提交投标文件的投标人不足3家的，不得继续进行下一步。</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 xml:space="preserve">21.5 </w:t>
      </w:r>
      <w:r>
        <w:rPr>
          <w:rFonts w:hint="eastAsia" w:ascii="仿宋_GB2312" w:hAnsi="仿宋_GB2312" w:eastAsia="仿宋_GB2312" w:cs="仿宋_GB2312"/>
          <w:color w:val="auto"/>
          <w:szCs w:val="21"/>
          <w:highlight w:val="none"/>
          <w:lang w:val="en-US" w:eastAsia="zh-CN"/>
        </w:rPr>
        <w:t>在投标文件开启会现场，招标人将按第四章“评审办法”规定的原则计算并宣布评审基准价。若招标人发现投标文件出现下列情况之一的，其投标报价将不再参加评审基准价的计算：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（1）未在投标函上填写总价或总价大写金额无法确定具体数值的；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（2）投标函中的总报价超出招标人公布的该标段的最高限价的；</w:t>
      </w:r>
    </w:p>
    <w:p>
      <w:pPr>
        <w:pStyle w:val="24"/>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（3）投标函上填写的标段号与投标文件封面上标记的标段号不一致。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pPr>
        <w:pStyle w:val="25"/>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pPr>
        <w:pStyle w:val="25"/>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color w:val="auto"/>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pPr>
        <w:pStyle w:val="9"/>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.组建</w:t>
      </w:r>
      <w:r>
        <w:rPr>
          <w:rFonts w:hint="eastAsia" w:ascii="仿宋_GB2312" w:hAnsi="仿宋_GB2312" w:eastAsia="仿宋_GB2312" w:cs="仿宋_GB2312"/>
          <w:b/>
          <w:bCs/>
          <w:color w:val="auto"/>
          <w:highlight w:val="none"/>
          <w:lang w:val="en-US" w:eastAsia="zh-CN"/>
        </w:rPr>
        <w:t>评审</w:t>
      </w:r>
      <w:r>
        <w:rPr>
          <w:rFonts w:hint="eastAsia" w:ascii="仿宋_GB2312" w:hAnsi="仿宋_GB2312" w:eastAsia="仿宋_GB2312" w:cs="仿宋_GB2312"/>
          <w:b/>
          <w:bCs/>
          <w:color w:val="auto"/>
          <w:highlight w:val="none"/>
        </w:rPr>
        <w:t>小组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.1按照</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肇庆市交通集团有限公司</w:t>
      </w:r>
      <w:r>
        <w:rPr>
          <w:rFonts w:hint="eastAsia" w:ascii="仿宋_GB2312" w:hAnsi="仿宋_GB2312" w:eastAsia="仿宋_GB2312" w:cs="仿宋_GB2312"/>
          <w:color w:val="auto"/>
          <w:szCs w:val="21"/>
          <w:highlight w:val="none"/>
        </w:rPr>
        <w:t>采购管理办法》有关规定依</w:t>
      </w:r>
      <w:r>
        <w:rPr>
          <w:rFonts w:hint="eastAsia" w:ascii="仿宋_GB2312" w:hAnsi="仿宋_GB2312" w:eastAsia="仿宋_GB2312" w:cs="仿宋_GB2312"/>
          <w:color w:val="auto"/>
          <w:szCs w:val="21"/>
          <w:highlight w:val="none"/>
          <w:lang w:val="en-US" w:eastAsia="zh-CN"/>
        </w:rPr>
        <w:t>规</w:t>
      </w:r>
      <w:r>
        <w:rPr>
          <w:rFonts w:hint="eastAsia" w:ascii="仿宋_GB2312" w:hAnsi="仿宋_GB2312" w:eastAsia="仿宋_GB2312" w:cs="仿宋_GB2312"/>
          <w:color w:val="auto"/>
          <w:szCs w:val="21"/>
          <w:highlight w:val="none"/>
        </w:rPr>
        <w:t>组建</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小组，负责本项目评审工作。</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.2 </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小组由</w:t>
      </w:r>
      <w:r>
        <w:rPr>
          <w:rFonts w:hint="eastAsia" w:ascii="仿宋_GB2312" w:hAnsi="仿宋_GB2312" w:eastAsia="仿宋_GB2312" w:cs="仿宋_GB2312"/>
          <w:color w:val="auto"/>
          <w:highlight w:val="none"/>
          <w:lang w:eastAsia="zh-CN"/>
        </w:rPr>
        <w:t>招标人</w:t>
      </w:r>
      <w:r>
        <w:rPr>
          <w:rFonts w:hint="eastAsia" w:ascii="仿宋_GB2312" w:hAnsi="仿宋_GB2312" w:eastAsia="仿宋_GB2312" w:cs="仿宋_GB2312"/>
          <w:color w:val="auto"/>
          <w:highlight w:val="none"/>
        </w:rPr>
        <w:t>代表和评审专家共</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人</w:t>
      </w:r>
      <w:r>
        <w:rPr>
          <w:rFonts w:hint="eastAsia" w:ascii="仿宋_GB2312" w:hAnsi="仿宋_GB2312" w:eastAsia="仿宋_GB2312" w:cs="仿宋_GB2312"/>
          <w:color w:val="auto"/>
          <w:highlight w:val="none"/>
          <w:lang w:val="en-US" w:eastAsia="zh-CN"/>
        </w:rPr>
        <w:t>及</w:t>
      </w:r>
      <w:r>
        <w:rPr>
          <w:rFonts w:hint="eastAsia" w:ascii="仿宋_GB2312" w:hAnsi="仿宋_GB2312" w:eastAsia="仿宋_GB2312" w:cs="仿宋_GB2312"/>
          <w:color w:val="auto"/>
          <w:highlight w:val="none"/>
        </w:rPr>
        <w:t>以上单数组成。</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小组组成详见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.2款。</w:t>
      </w:r>
    </w:p>
    <w:p>
      <w:pPr>
        <w:pStyle w:val="9"/>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.资格审查</w:t>
      </w:r>
    </w:p>
    <w:p>
      <w:pPr>
        <w:pStyle w:val="9"/>
        <w:adjustRightInd w:val="0"/>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 xml:space="preserve">.1 </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小组依据法律法规和</w:t>
      </w:r>
      <w:r>
        <w:rPr>
          <w:rFonts w:hint="eastAsia" w:ascii="仿宋_GB2312" w:hAnsi="仿宋_GB2312" w:eastAsia="仿宋_GB2312" w:cs="仿宋_GB2312"/>
          <w:color w:val="auto"/>
          <w:highlight w:val="none"/>
          <w:lang w:val="en-US" w:eastAsia="zh-CN"/>
        </w:rPr>
        <w:t>招标文件</w:t>
      </w:r>
      <w:r>
        <w:rPr>
          <w:rFonts w:hint="eastAsia" w:ascii="仿宋_GB2312" w:hAnsi="仿宋_GB2312" w:eastAsia="仿宋_GB2312" w:cs="仿宋_GB2312"/>
          <w:color w:val="auto"/>
          <w:highlight w:val="none"/>
        </w:rPr>
        <w:t>中规定的内容，对</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的资格（提交资格证明材料）进行审查。未通过资格审查的</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不能进行下一阶段评审，其</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将被认定为</w:t>
      </w:r>
      <w:r>
        <w:rPr>
          <w:rFonts w:hint="eastAsia" w:ascii="仿宋_GB2312" w:hAnsi="仿宋_GB2312" w:eastAsia="仿宋_GB2312" w:cs="仿宋_GB2312"/>
          <w:b/>
          <w:bCs/>
          <w:color w:val="auto"/>
          <w:highlight w:val="none"/>
          <w:lang w:eastAsia="zh-CN"/>
        </w:rPr>
        <w:t>废标</w:t>
      </w:r>
      <w:r>
        <w:rPr>
          <w:rFonts w:hint="eastAsia" w:ascii="仿宋_GB2312" w:hAnsi="仿宋_GB2312" w:eastAsia="仿宋_GB2312" w:cs="仿宋_GB2312"/>
          <w:color w:val="auto"/>
          <w:highlight w:val="none"/>
        </w:rPr>
        <w:t>。通过资格审查的</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b/>
          <w:bCs/>
          <w:color w:val="auto"/>
          <w:highlight w:val="none"/>
        </w:rPr>
        <w:t>不足3家的</w:t>
      </w:r>
      <w:r>
        <w:rPr>
          <w:rFonts w:hint="eastAsia" w:ascii="仿宋_GB2312" w:hAnsi="仿宋_GB2312" w:eastAsia="仿宋_GB2312" w:cs="仿宋_GB2312"/>
          <w:color w:val="auto"/>
          <w:highlight w:val="none"/>
        </w:rPr>
        <w:t>，不得进行符合性审查。</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.符合性审查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szCs w:val="21"/>
          <w:highlight w:val="none"/>
          <w:shd w:val="clear" w:color="auto" w:fill="FFFFFF"/>
        </w:rPr>
        <w:t>符合性审查是指依据</w:t>
      </w:r>
      <w:r>
        <w:rPr>
          <w:rFonts w:hint="eastAsia" w:ascii="仿宋_GB2312" w:hAnsi="仿宋_GB2312" w:eastAsia="仿宋_GB2312" w:cs="仿宋_GB2312"/>
          <w:color w:val="auto"/>
          <w:szCs w:val="21"/>
          <w:highlight w:val="none"/>
          <w:shd w:val="clear" w:color="auto" w:fill="FFFFFF"/>
          <w:lang w:val="en-US" w:eastAsia="zh-CN"/>
        </w:rPr>
        <w:t>招标文件</w:t>
      </w:r>
      <w:r>
        <w:rPr>
          <w:rFonts w:hint="eastAsia" w:ascii="仿宋_GB2312" w:hAnsi="仿宋_GB2312" w:eastAsia="仿宋_GB2312" w:cs="仿宋_GB2312"/>
          <w:color w:val="auto"/>
          <w:szCs w:val="21"/>
          <w:highlight w:val="none"/>
          <w:shd w:val="clear" w:color="auto" w:fill="FFFFFF"/>
        </w:rPr>
        <w:t>的规定，从</w:t>
      </w:r>
      <w:r>
        <w:rPr>
          <w:rFonts w:hint="eastAsia" w:ascii="仿宋_GB2312" w:hAnsi="仿宋_GB2312" w:eastAsia="仿宋_GB2312" w:cs="仿宋_GB2312"/>
          <w:color w:val="auto"/>
          <w:szCs w:val="21"/>
          <w:highlight w:val="none"/>
          <w:shd w:val="clear" w:color="auto" w:fill="FFFFFF"/>
          <w:lang w:eastAsia="zh-CN"/>
        </w:rPr>
        <w:t>投标文件</w:t>
      </w:r>
      <w:r>
        <w:rPr>
          <w:rFonts w:hint="eastAsia" w:ascii="仿宋_GB2312" w:hAnsi="仿宋_GB2312" w:eastAsia="仿宋_GB2312" w:cs="仿宋_GB2312"/>
          <w:color w:val="auto"/>
          <w:szCs w:val="21"/>
          <w:highlight w:val="none"/>
          <w:shd w:val="clear" w:color="auto" w:fill="FFFFFF"/>
        </w:rPr>
        <w:t>的有效性和完整性对</w:t>
      </w:r>
      <w:r>
        <w:rPr>
          <w:rFonts w:hint="eastAsia" w:ascii="仿宋_GB2312" w:hAnsi="仿宋_GB2312" w:eastAsia="仿宋_GB2312" w:cs="仿宋_GB2312"/>
          <w:color w:val="auto"/>
          <w:szCs w:val="21"/>
          <w:highlight w:val="none"/>
          <w:shd w:val="clear" w:color="auto" w:fill="FFFFFF"/>
          <w:lang w:val="en-US" w:eastAsia="zh-CN"/>
        </w:rPr>
        <w:t>招标文件</w:t>
      </w:r>
      <w:r>
        <w:rPr>
          <w:rFonts w:hint="eastAsia" w:ascii="仿宋_GB2312" w:hAnsi="仿宋_GB2312" w:eastAsia="仿宋_GB2312" w:cs="仿宋_GB2312"/>
          <w:color w:val="auto"/>
          <w:szCs w:val="21"/>
          <w:highlight w:val="none"/>
          <w:shd w:val="clear" w:color="auto" w:fill="FFFFFF"/>
        </w:rPr>
        <w:t>的响应程度进行审查，以确定是否</w:t>
      </w:r>
      <w:r>
        <w:rPr>
          <w:rFonts w:hint="eastAsia" w:ascii="仿宋_GB2312" w:hAnsi="仿宋_GB2312" w:eastAsia="仿宋_GB2312" w:cs="仿宋_GB2312"/>
          <w:color w:val="auto"/>
          <w:szCs w:val="21"/>
          <w:highlight w:val="none"/>
          <w:shd w:val="clear" w:color="auto" w:fill="FFFFFF"/>
          <w:lang w:val="en-US" w:eastAsia="zh-CN"/>
        </w:rPr>
        <w:t>对招标文件</w:t>
      </w:r>
      <w:r>
        <w:rPr>
          <w:rFonts w:hint="eastAsia" w:ascii="仿宋_GB2312" w:hAnsi="仿宋_GB2312" w:eastAsia="仿宋_GB2312" w:cs="仿宋_GB2312"/>
          <w:color w:val="auto"/>
          <w:szCs w:val="21"/>
          <w:highlight w:val="none"/>
          <w:shd w:val="clear" w:color="auto" w:fill="FFFFFF"/>
        </w:rPr>
        <w:t>的实质性要求做出响应。</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应按照第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中的相应要求，提交符合性证明材料。未通过符合性审查的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不能进入下一阶段评审，其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；通过符合性审查的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数量不</w:t>
      </w:r>
      <w:r>
        <w:rPr>
          <w:rFonts w:hint="eastAsia" w:ascii="仿宋_GB2312" w:hAnsi="仿宋_GB2312" w:eastAsia="仿宋_GB2312" w:cs="仿宋_GB2312"/>
          <w:b/>
          <w:bCs/>
          <w:color w:val="auto"/>
          <w:szCs w:val="21"/>
          <w:highlight w:val="none"/>
        </w:rPr>
        <w:t>足3家</w:t>
      </w:r>
      <w:r>
        <w:rPr>
          <w:rFonts w:hint="eastAsia" w:ascii="仿宋_GB2312" w:hAnsi="仿宋_GB2312" w:eastAsia="仿宋_GB2312" w:cs="仿宋_GB2312"/>
          <w:color w:val="auto"/>
          <w:szCs w:val="21"/>
          <w:highlight w:val="none"/>
        </w:rPr>
        <w:t>的，不得作进一步的比较和评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w:t>
      </w:r>
    </w:p>
    <w:p>
      <w:pPr>
        <w:pStyle w:val="9"/>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eastAsia="zh-CN"/>
        </w:rPr>
        <w:t>投标文件</w:t>
      </w:r>
      <w:r>
        <w:rPr>
          <w:rFonts w:hint="eastAsia" w:ascii="仿宋_GB2312" w:hAnsi="仿宋_GB2312" w:eastAsia="仿宋_GB2312" w:cs="仿宋_GB2312"/>
          <w:b/>
          <w:bCs/>
          <w:color w:val="auto"/>
          <w:highlight w:val="none"/>
        </w:rPr>
        <w:t>的澄清</w:t>
      </w:r>
    </w:p>
    <w:p>
      <w:pPr>
        <w:pStyle w:val="9"/>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小组可以</w:t>
      </w:r>
      <w:r>
        <w:rPr>
          <w:rFonts w:hint="eastAsia" w:ascii="仿宋_GB2312" w:hAnsi="仿宋_GB2312" w:eastAsia="仿宋_GB2312" w:cs="仿宋_GB2312"/>
          <w:color w:val="auto"/>
          <w:highlight w:val="none"/>
          <w:lang w:val="en-US" w:eastAsia="zh-CN"/>
        </w:rPr>
        <w:t>通过电子采购平台</w:t>
      </w:r>
      <w:r>
        <w:rPr>
          <w:rFonts w:hint="eastAsia" w:ascii="仿宋_GB2312" w:hAnsi="仿宋_GB2312" w:eastAsia="仿宋_GB2312" w:cs="仿宋_GB2312"/>
          <w:color w:val="auto"/>
          <w:highlight w:val="none"/>
        </w:rPr>
        <w:t>要求</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中含义不明确、同类问题表述不一致或者有明显文字和计算错误的内容等，作出必要的澄清、说明或者更正。</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的澄清、说明或者更正不得超出</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的范围或者改变</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的实质性内容。</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拒不进行澄清、说明、补正的，或者不能在规定时间内作出书面澄清、说明、补正的，其</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将被作为</w:t>
      </w:r>
      <w:r>
        <w:rPr>
          <w:rFonts w:hint="eastAsia" w:ascii="仿宋_GB2312" w:hAnsi="仿宋_GB2312" w:eastAsia="仿宋_GB2312" w:cs="仿宋_GB2312"/>
          <w:color w:val="auto"/>
          <w:highlight w:val="none"/>
          <w:lang w:eastAsia="zh-CN"/>
        </w:rPr>
        <w:t>废标</w:t>
      </w:r>
      <w:r>
        <w:rPr>
          <w:rFonts w:hint="eastAsia" w:ascii="仿宋_GB2312" w:hAnsi="仿宋_GB2312" w:eastAsia="仿宋_GB2312" w:cs="仿宋_GB2312"/>
          <w:color w:val="auto"/>
          <w:highlight w:val="none"/>
        </w:rPr>
        <w:t>处理。</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.1.1</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的澄清、说明或者补正应当</w:t>
      </w:r>
      <w:r>
        <w:rPr>
          <w:rFonts w:hint="eastAsia" w:ascii="仿宋_GB2312" w:hAnsi="仿宋_GB2312" w:eastAsia="仿宋_GB2312" w:cs="仿宋_GB2312"/>
          <w:color w:val="auto"/>
          <w:highlight w:val="none"/>
          <w:lang w:val="en-US" w:eastAsia="zh-CN"/>
        </w:rPr>
        <w:t>通过电子采购平台以书面形式进行</w:t>
      </w:r>
      <w:r>
        <w:rPr>
          <w:rFonts w:hint="eastAsia" w:ascii="仿宋_GB2312" w:hAnsi="仿宋_GB2312" w:eastAsia="仿宋_GB2312" w:cs="仿宋_GB2312"/>
          <w:color w:val="auto"/>
          <w:highlight w:val="none"/>
        </w:rPr>
        <w:t>，由其法定代表人或其授权代表签字或加盖公章。</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的澄清、说明或补正将作为</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报价出现前后不一致的，按照下列规定修正：</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中报价一览表内容与</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中相应内容不一致的，以报价一览表为准；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同时出现两种以上不一致的，按照前款规定的顺序修正。修正后的报价经</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确认后产生约束力，</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不确认的，其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b w:val="0"/>
          <w:bCs w:val="0"/>
          <w:color w:val="auto"/>
          <w:szCs w:val="21"/>
          <w:highlight w:val="none"/>
          <w:lang w:val="en-US" w:eastAsia="zh-CN"/>
        </w:rPr>
        <w:t>评审</w:t>
      </w:r>
      <w:r>
        <w:rPr>
          <w:rFonts w:hint="eastAsia" w:ascii="仿宋_GB2312" w:hAnsi="仿宋_GB2312" w:eastAsia="仿宋_GB2312" w:cs="仿宋_GB2312"/>
          <w:b w:val="0"/>
          <w:bCs w:val="0"/>
          <w:color w:val="auto"/>
          <w:szCs w:val="21"/>
          <w:highlight w:val="none"/>
        </w:rPr>
        <w:t>小组认为</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的报价明显低于其他通过符合性审查</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的报价，有可能影响产品质量或者不能诚信履约的，应当要求</w:t>
      </w:r>
      <w:r>
        <w:rPr>
          <w:rFonts w:hint="eastAsia" w:ascii="仿宋_GB2312" w:hAnsi="仿宋_GB2312" w:eastAsia="仿宋_GB2312" w:cs="仿宋_GB2312"/>
          <w:color w:val="auto"/>
          <w:szCs w:val="21"/>
          <w:highlight w:val="none"/>
          <w:lang w:val="en-US" w:eastAsia="zh-CN"/>
        </w:rPr>
        <w:t>该投标人</w:t>
      </w:r>
      <w:r>
        <w:rPr>
          <w:rFonts w:hint="eastAsia" w:ascii="仿宋_GB2312" w:hAnsi="仿宋_GB2312" w:eastAsia="仿宋_GB2312" w:cs="仿宋_GB2312"/>
          <w:color w:val="auto"/>
          <w:szCs w:val="21"/>
          <w:highlight w:val="none"/>
        </w:rPr>
        <w:t>在合理的时间内提供书面说明，必要时提交相关证明材料；</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不能证明其报价合理性的，</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小组应当将其作为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处理。</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废标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.1在比较与评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之前，根据本须知的规定，</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小组要审查每份</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是否实质上响应了</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的要求。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没有</w:t>
      </w:r>
      <w:r>
        <w:rPr>
          <w:rFonts w:hint="eastAsia" w:ascii="仿宋_GB2312" w:hAnsi="仿宋_GB2312" w:eastAsia="仿宋_GB2312" w:cs="仿宋_GB2312"/>
          <w:color w:val="auto"/>
          <w:szCs w:val="21"/>
          <w:highlight w:val="none"/>
          <w:lang w:val="en-US" w:eastAsia="zh-CN"/>
        </w:rPr>
        <w:t>对招标文件</w:t>
      </w:r>
      <w:r>
        <w:rPr>
          <w:rFonts w:hint="eastAsia" w:ascii="仿宋_GB2312" w:hAnsi="仿宋_GB2312" w:eastAsia="仿宋_GB2312" w:cs="仿宋_GB2312"/>
          <w:color w:val="auto"/>
          <w:szCs w:val="21"/>
          <w:highlight w:val="none"/>
        </w:rPr>
        <w:t>的实质性要求进行响应，将作为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处理，</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不得再对</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小组决定</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的响应性只根据</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内容及主管部门指定媒体发布的相关信息</w:t>
      </w:r>
      <w:r>
        <w:rPr>
          <w:rFonts w:hint="eastAsia" w:ascii="仿宋_GB2312" w:hAnsi="仿宋_GB2312" w:eastAsia="仿宋_GB2312" w:cs="仿宋_GB2312"/>
          <w:color w:val="auto"/>
          <w:szCs w:val="21"/>
          <w:highlight w:val="none"/>
          <w:lang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.2如发现下列情况之一的，其</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bCs/>
          <w:color w:val="auto"/>
          <w:szCs w:val="21"/>
          <w:highlight w:val="none"/>
        </w:rPr>
        <w:t>该</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不参与评审：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投标函</w:t>
      </w:r>
      <w:r>
        <w:rPr>
          <w:rFonts w:hint="eastAsia" w:ascii="仿宋_GB2312" w:hAnsi="仿宋_GB2312" w:eastAsia="仿宋_GB2312" w:cs="仿宋_GB2312"/>
          <w:b/>
          <w:bCs/>
          <w:color w:val="auto"/>
          <w:szCs w:val="21"/>
          <w:highlight w:val="none"/>
        </w:rPr>
        <w:t>未按照</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规定要求签署、盖章的；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的报价超过了</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中规定的最高限价的；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（3）不具备法律、法规和</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中规定的资格要求的；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（4）</w:t>
      </w:r>
      <w:r>
        <w:rPr>
          <w:rFonts w:hint="eastAsia" w:ascii="仿宋_GB2312" w:hAnsi="仿宋_GB2312" w:eastAsia="仿宋_GB2312" w:cs="仿宋_GB2312"/>
          <w:b/>
          <w:bCs/>
          <w:color w:val="auto"/>
          <w:szCs w:val="21"/>
          <w:highlight w:val="none"/>
          <w:lang w:val="en-US" w:eastAsia="zh-CN"/>
        </w:rPr>
        <w:t>没有对招标文件</w:t>
      </w:r>
      <w:r>
        <w:rPr>
          <w:rFonts w:hint="eastAsia" w:ascii="仿宋_GB2312" w:hAnsi="仿宋_GB2312" w:eastAsia="仿宋_GB2312" w:cs="仿宋_GB2312"/>
          <w:b/>
          <w:bCs/>
          <w:color w:val="auto"/>
          <w:szCs w:val="21"/>
          <w:highlight w:val="none"/>
        </w:rPr>
        <w:t>中规定的实质性要求</w:t>
      </w:r>
      <w:r>
        <w:rPr>
          <w:rFonts w:hint="eastAsia" w:ascii="仿宋_GB2312" w:hAnsi="仿宋_GB2312" w:eastAsia="仿宋_GB2312" w:cs="仿宋_GB2312"/>
          <w:b/>
          <w:bCs/>
          <w:color w:val="auto"/>
          <w:szCs w:val="21"/>
          <w:highlight w:val="none"/>
          <w:lang w:val="en-US" w:eastAsia="zh-CN"/>
        </w:rPr>
        <w:t>和条件作出响应</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w:t>
      </w:r>
      <w:r>
        <w:rPr>
          <w:rFonts w:hint="eastAsia" w:ascii="仿宋_GB2312" w:hAnsi="仿宋_GB2312" w:eastAsia="仿宋_GB2312" w:cs="仿宋_GB2312"/>
          <w:b/>
          <w:bCs/>
          <w:color w:val="auto"/>
          <w:szCs w:val="21"/>
          <w:highlight w:val="none"/>
          <w:lang w:val="en-US" w:eastAsia="zh-CN"/>
        </w:rPr>
        <w:t>评审</w:t>
      </w:r>
      <w:r>
        <w:rPr>
          <w:rFonts w:hint="eastAsia" w:ascii="仿宋_GB2312" w:hAnsi="仿宋_GB2312" w:eastAsia="仿宋_GB2312" w:cs="仿宋_GB2312"/>
          <w:b/>
          <w:bCs/>
          <w:color w:val="auto"/>
          <w:szCs w:val="21"/>
          <w:highlight w:val="none"/>
        </w:rPr>
        <w:t>小组认为</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的报价明显低于其他通过符合性审查</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的报价，有可能影响履约的，且</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未按照规定证明其报价合理性的；</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有串通投标、弄虚作假、行贿等违法行为的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7）</w:t>
      </w:r>
      <w:r>
        <w:rPr>
          <w:rFonts w:hint="eastAsia" w:ascii="仿宋_GB2312" w:hAnsi="仿宋_GB2312" w:eastAsia="仿宋_GB2312" w:cs="仿宋_GB2312"/>
          <w:b/>
          <w:bCs/>
          <w:color w:val="auto"/>
          <w:szCs w:val="21"/>
          <w:highlight w:val="none"/>
        </w:rPr>
        <w:t>未按</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的规定提交</w:t>
      </w:r>
      <w:r>
        <w:rPr>
          <w:rFonts w:hint="eastAsia" w:ascii="仿宋_GB2312" w:hAnsi="仿宋_GB2312" w:eastAsia="仿宋_GB2312" w:cs="仿宋_GB2312"/>
          <w:b/>
          <w:bCs/>
          <w:color w:val="auto"/>
          <w:szCs w:val="21"/>
          <w:highlight w:val="none"/>
          <w:lang w:eastAsia="zh-CN"/>
        </w:rPr>
        <w:t>投标保证金</w:t>
      </w:r>
      <w:r>
        <w:rPr>
          <w:rFonts w:hint="eastAsia" w:ascii="仿宋_GB2312" w:hAnsi="仿宋_GB2312" w:eastAsia="仿宋_GB2312" w:cs="仿宋_GB2312"/>
          <w:b/>
          <w:bCs/>
          <w:color w:val="auto"/>
          <w:szCs w:val="21"/>
          <w:highlight w:val="none"/>
        </w:rPr>
        <w:t>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8）投标有效期</w:t>
      </w:r>
      <w:r>
        <w:rPr>
          <w:rFonts w:hint="eastAsia" w:ascii="仿宋_GB2312" w:hAnsi="仿宋_GB2312" w:eastAsia="仿宋_GB2312" w:cs="仿宋_GB2312"/>
          <w:b/>
          <w:bCs/>
          <w:color w:val="auto"/>
          <w:szCs w:val="21"/>
          <w:highlight w:val="none"/>
        </w:rPr>
        <w:t>不足的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含有</w:t>
      </w:r>
      <w:r>
        <w:rPr>
          <w:rFonts w:hint="eastAsia" w:ascii="仿宋_GB2312" w:hAnsi="仿宋_GB2312" w:eastAsia="仿宋_GB2312" w:cs="仿宋_GB2312"/>
          <w:b/>
          <w:bCs/>
          <w:color w:val="auto"/>
          <w:szCs w:val="21"/>
          <w:highlight w:val="none"/>
          <w:lang w:eastAsia="zh-CN"/>
        </w:rPr>
        <w:t>招标人</w:t>
      </w:r>
      <w:r>
        <w:rPr>
          <w:rFonts w:hint="eastAsia" w:ascii="仿宋_GB2312" w:hAnsi="仿宋_GB2312" w:eastAsia="仿宋_GB2312" w:cs="仿宋_GB2312"/>
          <w:b/>
          <w:bCs/>
          <w:color w:val="auto"/>
          <w:szCs w:val="21"/>
          <w:highlight w:val="none"/>
        </w:rPr>
        <w:t>不能接受的附加条件的；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10</w:t>
      </w:r>
      <w:r>
        <w:rPr>
          <w:rFonts w:hint="eastAsia" w:ascii="仿宋_GB2312" w:hAnsi="仿宋_GB2312" w:eastAsia="仿宋_GB2312" w:cs="仿宋_GB2312"/>
          <w:b/>
          <w:bCs/>
          <w:color w:val="auto"/>
          <w:szCs w:val="21"/>
          <w:highlight w:val="none"/>
        </w:rPr>
        <w:t>）属于法律、法规和</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规定的其他</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无效情形</w:t>
      </w:r>
      <w:r>
        <w:rPr>
          <w:rFonts w:hint="eastAsia" w:ascii="仿宋_GB2312" w:hAnsi="仿宋_GB2312" w:eastAsia="仿宋_GB2312" w:cs="仿宋_GB2312"/>
          <w:b/>
          <w:bCs/>
          <w:color w:val="auto"/>
          <w:szCs w:val="21"/>
          <w:highlight w:val="none"/>
          <w:lang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 xml:space="preserve">26.3 </w:t>
      </w:r>
      <w:r>
        <w:rPr>
          <w:rFonts w:hint="eastAsia" w:ascii="仿宋_GB2312" w:hAnsi="仿宋_GB2312" w:eastAsia="仿宋_GB2312" w:cs="仿宋_GB2312"/>
          <w:b/>
          <w:bCs/>
          <w:color w:val="auto"/>
          <w:szCs w:val="21"/>
          <w:highlight w:val="none"/>
        </w:rPr>
        <w:t>有下列情形之一的，视为</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串通投标，其</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委托同一单位或者个人办理</w:t>
      </w:r>
      <w:r>
        <w:rPr>
          <w:rFonts w:hint="eastAsia" w:ascii="仿宋_GB2312" w:hAnsi="仿宋_GB2312" w:eastAsia="仿宋_GB2312" w:cs="仿宋_GB2312"/>
          <w:b/>
          <w:bCs/>
          <w:color w:val="auto"/>
          <w:szCs w:val="21"/>
          <w:highlight w:val="none"/>
          <w:lang w:val="en-US" w:eastAsia="zh-CN"/>
        </w:rPr>
        <w:t>询价</w:t>
      </w:r>
      <w:r>
        <w:rPr>
          <w:rFonts w:hint="eastAsia" w:ascii="仿宋_GB2312" w:hAnsi="仿宋_GB2312" w:eastAsia="仿宋_GB2312" w:cs="仿宋_GB2312"/>
          <w:b/>
          <w:bCs/>
          <w:color w:val="auto"/>
          <w:szCs w:val="21"/>
          <w:highlight w:val="none"/>
        </w:rPr>
        <w:t>事宜；</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异常一致或者</w:t>
      </w:r>
      <w:r>
        <w:rPr>
          <w:rFonts w:hint="eastAsia" w:ascii="仿宋_GB2312" w:hAnsi="仿宋_GB2312" w:eastAsia="仿宋_GB2312" w:cs="仿宋_GB2312"/>
          <w:b/>
          <w:bCs/>
          <w:color w:val="auto"/>
          <w:szCs w:val="21"/>
          <w:highlight w:val="none"/>
          <w:lang w:val="en-US" w:eastAsia="zh-CN"/>
        </w:rPr>
        <w:t>投标报价</w:t>
      </w:r>
      <w:r>
        <w:rPr>
          <w:rFonts w:hint="eastAsia" w:ascii="仿宋_GB2312" w:hAnsi="仿宋_GB2312" w:eastAsia="仿宋_GB2312" w:cs="仿宋_GB2312"/>
          <w:b/>
          <w:bCs/>
          <w:color w:val="auto"/>
          <w:szCs w:val="21"/>
          <w:highlight w:val="none"/>
        </w:rPr>
        <w:t>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lang w:eastAsia="zh-CN"/>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lang w:eastAsia="zh-CN"/>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lang w:eastAsia="zh-CN"/>
        </w:rPr>
        <w:t>相互混装；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lang w:eastAsia="zh-CN"/>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lang w:eastAsia="zh-CN"/>
        </w:rPr>
        <w:t>的</w:t>
      </w:r>
      <w:r>
        <w:rPr>
          <w:rFonts w:hint="eastAsia" w:ascii="仿宋_GB2312" w:hAnsi="仿宋_GB2312" w:eastAsia="仿宋_GB2312" w:cs="仿宋_GB2312"/>
          <w:b/>
          <w:bCs/>
          <w:color w:val="auto"/>
          <w:szCs w:val="21"/>
          <w:highlight w:val="none"/>
          <w:lang w:val="en-US" w:eastAsia="zh-CN"/>
        </w:rPr>
        <w:t>投标保证金</w:t>
      </w:r>
      <w:r>
        <w:rPr>
          <w:rFonts w:hint="eastAsia" w:ascii="仿宋_GB2312" w:hAnsi="仿宋_GB2312" w:eastAsia="仿宋_GB2312" w:cs="仿宋_GB2312"/>
          <w:b/>
          <w:bCs/>
          <w:color w:val="auto"/>
          <w:szCs w:val="21"/>
          <w:highlight w:val="none"/>
          <w:lang w:eastAsia="zh-CN"/>
        </w:rPr>
        <w:t>从同一单位或者个人的账户转出。</w:t>
      </w:r>
    </w:p>
    <w:p>
      <w:pPr>
        <w:adjustRightInd w:val="0"/>
        <w:snapToGrid w:val="0"/>
        <w:spacing w:line="360" w:lineRule="auto"/>
        <w:rPr>
          <w:rFonts w:hint="eastAsia" w:ascii="仿宋_GB2312" w:hAnsi="仿宋_GB2312" w:eastAsia="仿宋_GB2312" w:cs="仿宋_GB2312"/>
          <w:b/>
          <w:color w:val="auto"/>
          <w:szCs w:val="21"/>
          <w:highlight w:val="none"/>
          <w:lang w:eastAsia="zh-CN"/>
        </w:rPr>
      </w:pPr>
      <w:r>
        <w:rPr>
          <w:rFonts w:hint="eastAsia" w:ascii="仿宋_GB2312" w:hAnsi="仿宋_GB2312" w:eastAsia="仿宋_GB2312" w:cs="仿宋_GB2312"/>
          <w:b/>
          <w:color w:val="auto"/>
          <w:szCs w:val="21"/>
          <w:highlight w:val="none"/>
        </w:rPr>
        <w:t>2</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.比较与评</w:t>
      </w:r>
      <w:r>
        <w:rPr>
          <w:rFonts w:hint="eastAsia" w:ascii="仿宋_GB2312" w:hAnsi="仿宋_GB2312" w:eastAsia="仿宋_GB2312" w:cs="仿宋_GB2312"/>
          <w:b/>
          <w:color w:val="auto"/>
          <w:szCs w:val="21"/>
          <w:highlight w:val="none"/>
          <w:lang w:val="en-US" w:eastAsia="zh-CN"/>
        </w:rPr>
        <w:t>审</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.1经符合性审查合格的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小组将根据</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.1款规定的评</w:t>
      </w:r>
      <w:r>
        <w:rPr>
          <w:rFonts w:hint="eastAsia" w:ascii="仿宋_GB2312" w:hAnsi="仿宋_GB2312" w:eastAsia="仿宋_GB2312" w:cs="仿宋_GB2312"/>
          <w:color w:val="auto"/>
          <w:szCs w:val="21"/>
          <w:highlight w:val="none"/>
          <w:lang w:val="en-US" w:eastAsia="zh-CN"/>
        </w:rPr>
        <w:t>审方法</w:t>
      </w:r>
      <w:r>
        <w:rPr>
          <w:rFonts w:hint="eastAsia" w:ascii="仿宋_GB2312" w:hAnsi="仿宋_GB2312" w:eastAsia="仿宋_GB2312" w:cs="仿宋_GB2312"/>
          <w:color w:val="auto"/>
          <w:szCs w:val="21"/>
          <w:highlight w:val="none"/>
        </w:rPr>
        <w:t>，对其作进一步的比较和评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.终止</w:t>
      </w:r>
      <w:r>
        <w:rPr>
          <w:rFonts w:hint="eastAsia" w:ascii="仿宋_GB2312" w:hAnsi="仿宋_GB2312" w:eastAsia="仿宋_GB2312" w:cs="仿宋_GB2312"/>
          <w:b/>
          <w:bCs/>
          <w:color w:val="auto"/>
          <w:szCs w:val="21"/>
          <w:highlight w:val="none"/>
          <w:lang w:val="en-US" w:eastAsia="zh-CN"/>
        </w:rPr>
        <w:t>招标</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lang w:eastAsia="zh-CN"/>
        </w:rPr>
      </w:pPr>
      <w:r>
        <w:rPr>
          <w:rFonts w:hint="eastAsia" w:ascii="仿宋_GB2312" w:hAnsi="仿宋_GB2312" w:eastAsia="仿宋_GB2312" w:cs="仿宋_GB2312"/>
          <w:b w:val="0"/>
          <w:bCs w:val="0"/>
          <w:color w:val="auto"/>
          <w:szCs w:val="21"/>
          <w:highlight w:val="none"/>
        </w:rPr>
        <w:t>出现下列情形之一，</w:t>
      </w:r>
      <w:r>
        <w:rPr>
          <w:rFonts w:hint="eastAsia" w:ascii="仿宋_GB2312" w:hAnsi="仿宋_GB2312" w:eastAsia="仿宋_GB2312" w:cs="仿宋_GB2312"/>
          <w:b w:val="0"/>
          <w:bCs w:val="0"/>
          <w:color w:val="auto"/>
          <w:szCs w:val="21"/>
          <w:highlight w:val="none"/>
          <w:lang w:eastAsia="zh-CN"/>
        </w:rPr>
        <w:t>招标人</w:t>
      </w:r>
      <w:r>
        <w:rPr>
          <w:rFonts w:hint="eastAsia" w:ascii="仿宋_GB2312" w:hAnsi="仿宋_GB2312" w:eastAsia="仿宋_GB2312" w:cs="仿宋_GB2312"/>
          <w:b w:val="0"/>
          <w:bCs w:val="0"/>
          <w:color w:val="auto"/>
          <w:szCs w:val="21"/>
          <w:highlight w:val="none"/>
        </w:rPr>
        <w:t>应当终止本次</w:t>
      </w:r>
      <w:r>
        <w:rPr>
          <w:rFonts w:hint="eastAsia" w:ascii="仿宋_GB2312" w:hAnsi="仿宋_GB2312" w:eastAsia="仿宋_GB2312" w:cs="仿宋_GB2312"/>
          <w:b w:val="0"/>
          <w:bCs w:val="0"/>
          <w:color w:val="auto"/>
          <w:szCs w:val="21"/>
          <w:highlight w:val="none"/>
          <w:lang w:eastAsia="zh-CN"/>
        </w:rPr>
        <w:t>招标活动：</w:t>
      </w:r>
    </w:p>
    <w:p>
      <w:pPr>
        <w:adjustRightInd w:val="0"/>
        <w:snapToGrid w:val="0"/>
        <w:spacing w:line="360" w:lineRule="auto"/>
        <w:ind w:firstLine="420" w:firstLineChars="200"/>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（1）因情况变化，不再符合规定的</w:t>
      </w:r>
      <w:r>
        <w:rPr>
          <w:rFonts w:hint="eastAsia" w:ascii="仿宋_GB2312" w:hAnsi="仿宋_GB2312" w:eastAsia="仿宋_GB2312" w:cs="仿宋_GB2312"/>
          <w:b w:val="0"/>
          <w:bCs w:val="0"/>
          <w:color w:val="auto"/>
          <w:szCs w:val="21"/>
          <w:highlight w:val="none"/>
          <w:lang w:val="en-US" w:eastAsia="zh-CN"/>
        </w:rPr>
        <w:t>自主</w:t>
      </w:r>
      <w:r>
        <w:rPr>
          <w:rFonts w:hint="eastAsia" w:ascii="仿宋_GB2312" w:hAnsi="仿宋_GB2312" w:eastAsia="仿宋_GB2312" w:cs="仿宋_GB2312"/>
          <w:b w:val="0"/>
          <w:bCs w:val="0"/>
          <w:color w:val="auto"/>
          <w:szCs w:val="21"/>
          <w:highlight w:val="none"/>
          <w:lang w:eastAsia="zh-CN"/>
        </w:rPr>
        <w:t>招标方式</w:t>
      </w:r>
      <w:r>
        <w:rPr>
          <w:rFonts w:hint="eastAsia" w:ascii="仿宋_GB2312" w:hAnsi="仿宋_GB2312" w:eastAsia="仿宋_GB2312" w:cs="仿宋_GB2312"/>
          <w:b w:val="0"/>
          <w:bCs w:val="0"/>
          <w:color w:val="auto"/>
          <w:szCs w:val="21"/>
          <w:highlight w:val="none"/>
        </w:rPr>
        <w:t>适用情形的；</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（2）出现影响</w:t>
      </w:r>
      <w:r>
        <w:rPr>
          <w:rFonts w:hint="eastAsia" w:ascii="仿宋_GB2312" w:hAnsi="仿宋_GB2312" w:eastAsia="仿宋_GB2312" w:cs="仿宋_GB2312"/>
          <w:b w:val="0"/>
          <w:bCs w:val="0"/>
          <w:color w:val="auto"/>
          <w:szCs w:val="21"/>
          <w:highlight w:val="none"/>
          <w:lang w:val="en-US" w:eastAsia="zh-CN"/>
        </w:rPr>
        <w:t>招标</w:t>
      </w:r>
      <w:r>
        <w:rPr>
          <w:rFonts w:hint="eastAsia" w:ascii="仿宋_GB2312" w:hAnsi="仿宋_GB2312" w:eastAsia="仿宋_GB2312" w:cs="仿宋_GB2312"/>
          <w:b w:val="0"/>
          <w:bCs w:val="0"/>
          <w:color w:val="auto"/>
          <w:szCs w:val="21"/>
          <w:highlight w:val="none"/>
        </w:rPr>
        <w:t>公正的违法、违规行为的；</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（3）在</w:t>
      </w:r>
      <w:r>
        <w:rPr>
          <w:rFonts w:hint="eastAsia" w:ascii="仿宋_GB2312" w:hAnsi="仿宋_GB2312" w:eastAsia="仿宋_GB2312" w:cs="仿宋_GB2312"/>
          <w:b w:val="0"/>
          <w:bCs w:val="0"/>
          <w:color w:val="auto"/>
          <w:szCs w:val="21"/>
          <w:highlight w:val="none"/>
          <w:lang w:eastAsia="zh-CN"/>
        </w:rPr>
        <w:t>招标过程</w:t>
      </w:r>
      <w:r>
        <w:rPr>
          <w:rFonts w:hint="eastAsia" w:ascii="仿宋_GB2312" w:hAnsi="仿宋_GB2312" w:eastAsia="仿宋_GB2312" w:cs="仿宋_GB2312"/>
          <w:b w:val="0"/>
          <w:bCs w:val="0"/>
          <w:color w:val="auto"/>
          <w:szCs w:val="21"/>
          <w:highlight w:val="none"/>
        </w:rPr>
        <w:t>中符合竞争要求的</w:t>
      </w:r>
      <w:r>
        <w:rPr>
          <w:rFonts w:hint="eastAsia" w:ascii="仿宋_GB2312" w:hAnsi="仿宋_GB2312" w:eastAsia="仿宋_GB2312" w:cs="仿宋_GB2312"/>
          <w:b w:val="0"/>
          <w:bCs w:val="0"/>
          <w:color w:val="auto"/>
          <w:szCs w:val="21"/>
          <w:highlight w:val="none"/>
          <w:lang w:eastAsia="zh-CN"/>
        </w:rPr>
        <w:t>投标人</w:t>
      </w:r>
      <w:r>
        <w:rPr>
          <w:rFonts w:hint="eastAsia" w:ascii="仿宋_GB2312" w:hAnsi="仿宋_GB2312" w:eastAsia="仿宋_GB2312" w:cs="仿宋_GB2312"/>
          <w:b w:val="0"/>
          <w:bCs w:val="0"/>
          <w:color w:val="auto"/>
          <w:szCs w:val="21"/>
          <w:highlight w:val="none"/>
        </w:rPr>
        <w:t>或者报价未超过最高限价的</w:t>
      </w:r>
      <w:r>
        <w:rPr>
          <w:rFonts w:hint="eastAsia" w:ascii="仿宋_GB2312" w:hAnsi="仿宋_GB2312" w:eastAsia="仿宋_GB2312" w:cs="仿宋_GB2312"/>
          <w:b w:val="0"/>
          <w:bCs w:val="0"/>
          <w:color w:val="auto"/>
          <w:szCs w:val="21"/>
          <w:highlight w:val="none"/>
          <w:lang w:eastAsia="zh-CN"/>
        </w:rPr>
        <w:t>投标人</w:t>
      </w:r>
      <w:r>
        <w:rPr>
          <w:rFonts w:hint="eastAsia" w:ascii="仿宋_GB2312" w:hAnsi="仿宋_GB2312" w:eastAsia="仿宋_GB2312" w:cs="仿宋_GB2312"/>
          <w:b w:val="0"/>
          <w:bCs w:val="0"/>
          <w:color w:val="auto"/>
          <w:szCs w:val="21"/>
          <w:highlight w:val="none"/>
        </w:rPr>
        <w:t>不足3家的；</w:t>
      </w:r>
    </w:p>
    <w:p>
      <w:pPr>
        <w:adjustRightInd w:val="0"/>
        <w:snapToGrid w:val="0"/>
        <w:spacing w:line="360" w:lineRule="auto"/>
        <w:ind w:firstLine="420" w:firstLineChars="200"/>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（4）因重大变故，</w:t>
      </w:r>
      <w:r>
        <w:rPr>
          <w:rFonts w:hint="eastAsia" w:ascii="仿宋_GB2312" w:hAnsi="仿宋_GB2312" w:eastAsia="仿宋_GB2312" w:cs="仿宋_GB2312"/>
          <w:b w:val="0"/>
          <w:bCs w:val="0"/>
          <w:color w:val="auto"/>
          <w:szCs w:val="21"/>
          <w:highlight w:val="none"/>
          <w:lang w:val="en-US" w:eastAsia="zh-CN"/>
        </w:rPr>
        <w:t>招标活动</w:t>
      </w:r>
      <w:r>
        <w:rPr>
          <w:rFonts w:hint="eastAsia" w:ascii="仿宋_GB2312" w:hAnsi="仿宋_GB2312" w:eastAsia="仿宋_GB2312" w:cs="仿宋_GB2312"/>
          <w:b w:val="0"/>
          <w:bCs w:val="0"/>
          <w:color w:val="auto"/>
          <w:szCs w:val="21"/>
          <w:highlight w:val="none"/>
        </w:rPr>
        <w:t>取消的。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中标候选人</w:t>
      </w:r>
      <w:r>
        <w:rPr>
          <w:rFonts w:hint="eastAsia" w:ascii="仿宋_GB2312" w:hAnsi="仿宋_GB2312" w:eastAsia="仿宋_GB2312" w:cs="仿宋_GB2312"/>
          <w:b/>
          <w:bCs/>
          <w:color w:val="auto"/>
          <w:szCs w:val="21"/>
          <w:highlight w:val="none"/>
        </w:rPr>
        <w:t>的推荐原则及标准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.1除第</w:t>
      </w:r>
      <w:r>
        <w:rPr>
          <w:rFonts w:hint="eastAsia" w:ascii="仿宋_GB2312" w:hAnsi="仿宋_GB2312" w:eastAsia="仿宋_GB2312" w:cs="仿宋_GB2312"/>
          <w:color w:val="auto"/>
          <w:szCs w:val="21"/>
          <w:highlight w:val="none"/>
          <w:lang w:val="en-US" w:eastAsia="zh-CN"/>
        </w:rPr>
        <w:t>28条和</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条规定外，</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结束后，</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小组应当从质量和服务均能满足</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实质性响应要求的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中，按照</w:t>
      </w:r>
      <w:r>
        <w:rPr>
          <w:rFonts w:hint="eastAsia" w:ascii="仿宋_GB2312" w:hAnsi="仿宋_GB2312" w:eastAsia="仿宋_GB2312" w:cs="仿宋_GB2312"/>
          <w:color w:val="auto"/>
          <w:szCs w:val="21"/>
          <w:highlight w:val="none"/>
          <w:lang w:val="en-US" w:eastAsia="zh-CN"/>
        </w:rPr>
        <w:t>最终得分由</w:t>
      </w:r>
      <w:r>
        <w:rPr>
          <w:rFonts w:hint="eastAsia" w:ascii="仿宋_GB2312" w:hAnsi="仿宋_GB2312" w:eastAsia="仿宋_GB2312" w:cs="仿宋_GB2312"/>
          <w:color w:val="auto"/>
          <w:szCs w:val="21"/>
          <w:highlight w:val="none"/>
        </w:rPr>
        <w:t>高</w:t>
      </w:r>
      <w:r>
        <w:rPr>
          <w:rFonts w:hint="eastAsia" w:ascii="仿宋_GB2312" w:hAnsi="仿宋_GB2312" w:eastAsia="仿宋_GB2312" w:cs="仿宋_GB2312"/>
          <w:color w:val="auto"/>
          <w:szCs w:val="21"/>
          <w:highlight w:val="none"/>
          <w:lang w:val="en-US" w:eastAsia="zh-CN"/>
        </w:rPr>
        <w:t>到低</w:t>
      </w:r>
      <w:r>
        <w:rPr>
          <w:rFonts w:hint="eastAsia" w:ascii="仿宋_GB2312" w:hAnsi="仿宋_GB2312" w:eastAsia="仿宋_GB2312" w:cs="仿宋_GB2312"/>
          <w:color w:val="auto"/>
          <w:szCs w:val="21"/>
          <w:highlight w:val="none"/>
        </w:rPr>
        <w:t>的顺序按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款中规定数量推荐</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候选</w:t>
      </w:r>
      <w:r>
        <w:rPr>
          <w:rFonts w:hint="eastAsia" w:ascii="仿宋_GB2312" w:hAnsi="仿宋_GB2312" w:eastAsia="仿宋_GB2312" w:cs="仿宋_GB2312"/>
          <w:color w:val="auto"/>
          <w:szCs w:val="21"/>
          <w:highlight w:val="none"/>
          <w:lang w:val="en-US" w:eastAsia="zh-CN"/>
        </w:rPr>
        <w:t>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 因推荐</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名单产生其他问题，由</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小组集体研究处理。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30</w:t>
      </w:r>
      <w:r>
        <w:rPr>
          <w:rFonts w:hint="eastAsia" w:ascii="仿宋_GB2312" w:hAnsi="仿宋_GB2312" w:eastAsia="仿宋_GB2312" w:cs="仿宋_GB2312"/>
          <w:b/>
          <w:bCs/>
          <w:color w:val="auto"/>
          <w:szCs w:val="21"/>
          <w:highlight w:val="none"/>
        </w:rPr>
        <w:t>.保密原则</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对投标文件的</w:t>
      </w:r>
      <w:r>
        <w:rPr>
          <w:rFonts w:hint="eastAsia" w:ascii="仿宋_GB2312" w:hAnsi="仿宋_GB2312" w:eastAsia="仿宋_GB2312" w:cs="仿宋_GB2312"/>
          <w:color w:val="auto"/>
          <w:szCs w:val="21"/>
          <w:highlight w:val="none"/>
        </w:rPr>
        <w:t>评审</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rPr>
        <w:t>在严格保密的情况下进行。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30</w:t>
      </w:r>
      <w:r>
        <w:rPr>
          <w:rFonts w:hint="eastAsia" w:ascii="仿宋_GB2312" w:hAnsi="仿宋_GB2312" w:eastAsia="仿宋_GB2312" w:cs="仿宋_GB2312"/>
          <w:color w:val="auto"/>
          <w:szCs w:val="21"/>
          <w:highlight w:val="none"/>
        </w:rPr>
        <w:t>.2有关人员应当遵守评审工作纪律，不得泄露</w:t>
      </w:r>
      <w:r>
        <w:rPr>
          <w:rFonts w:hint="eastAsia" w:ascii="仿宋_GB2312" w:hAnsi="仿宋_GB2312" w:eastAsia="仿宋_GB2312" w:cs="仿宋_GB2312"/>
          <w:color w:val="auto"/>
          <w:szCs w:val="21"/>
          <w:highlight w:val="none"/>
          <w:lang w:val="en-US" w:eastAsia="zh-CN"/>
        </w:rPr>
        <w:t>投标文件</w:t>
      </w:r>
      <w:r>
        <w:rPr>
          <w:rFonts w:hint="eastAsia" w:ascii="仿宋_GB2312" w:hAnsi="仿宋_GB2312" w:eastAsia="仿宋_GB2312" w:cs="仿宋_GB2312"/>
          <w:color w:val="auto"/>
          <w:szCs w:val="21"/>
          <w:highlight w:val="none"/>
        </w:rPr>
        <w:t>、评审情况和评审过程中获悉的国家秘密、商业秘密。</w:t>
      </w:r>
    </w:p>
    <w:p>
      <w:pPr>
        <w:pStyle w:val="3"/>
        <w:adjustRightInd w:val="0"/>
        <w:snapToGrid w:val="0"/>
        <w:spacing w:before="0" w:after="0" w:line="360" w:lineRule="auto"/>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七 确定</w:t>
      </w:r>
      <w:r>
        <w:rPr>
          <w:rFonts w:hint="eastAsia" w:ascii="仿宋_GB2312" w:hAnsi="仿宋_GB2312" w:eastAsia="仿宋_GB2312" w:cs="仿宋_GB2312"/>
          <w:color w:val="auto"/>
          <w:sz w:val="28"/>
          <w:szCs w:val="28"/>
          <w:highlight w:val="none"/>
          <w:lang w:eastAsia="zh-CN"/>
        </w:rPr>
        <w:t>中标</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.确定</w:t>
      </w:r>
      <w:r>
        <w:rPr>
          <w:rFonts w:hint="eastAsia" w:ascii="仿宋_GB2312" w:hAnsi="仿宋_GB2312" w:eastAsia="仿宋_GB2312" w:cs="仿宋_GB2312"/>
          <w:b/>
          <w:bCs/>
          <w:color w:val="auto"/>
          <w:szCs w:val="21"/>
          <w:highlight w:val="none"/>
          <w:lang w:eastAsia="zh-CN"/>
        </w:rPr>
        <w:t>中标人</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在收到评审报告</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个工作日内</w:t>
      </w:r>
      <w:r>
        <w:rPr>
          <w:rFonts w:hint="eastAsia" w:ascii="仿宋_GB2312" w:hAnsi="仿宋_GB2312" w:eastAsia="仿宋_GB2312" w:cs="仿宋_GB2312"/>
          <w:color w:val="auto"/>
          <w:szCs w:val="21"/>
          <w:highlight w:val="none"/>
          <w:lang w:val="en-US" w:eastAsia="zh-CN"/>
        </w:rPr>
        <w:t>在电子采购平台公示中标候选人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公示期不少于3日。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招标人应</w:t>
      </w:r>
      <w:r>
        <w:rPr>
          <w:rFonts w:hint="eastAsia" w:ascii="仿宋_GB2312" w:hAnsi="仿宋_GB2312" w:eastAsia="仿宋_GB2312" w:cs="仿宋_GB2312"/>
          <w:color w:val="auto"/>
          <w:szCs w:val="21"/>
          <w:highlight w:val="none"/>
        </w:rPr>
        <w:t>从评审报告</w:t>
      </w:r>
      <w:r>
        <w:rPr>
          <w:rFonts w:hint="eastAsia" w:ascii="仿宋_GB2312" w:hAnsi="仿宋_GB2312" w:eastAsia="仿宋_GB2312" w:cs="仿宋_GB2312"/>
          <w:color w:val="auto"/>
          <w:szCs w:val="21"/>
          <w:highlight w:val="none"/>
          <w:lang w:val="en-US" w:eastAsia="zh-CN"/>
        </w:rPr>
        <w:t>推荐</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候选人中，根据</w:t>
      </w:r>
      <w:r>
        <w:rPr>
          <w:rFonts w:hint="eastAsia" w:ascii="仿宋_GB2312" w:hAnsi="仿宋_GB2312" w:eastAsia="仿宋_GB2312" w:cs="仿宋_GB2312"/>
          <w:color w:val="auto"/>
          <w:szCs w:val="21"/>
          <w:highlight w:val="none"/>
          <w:lang w:val="en-US" w:eastAsia="zh-CN"/>
        </w:rPr>
        <w:t>招标文件的规定</w:t>
      </w:r>
      <w:r>
        <w:rPr>
          <w:rFonts w:hint="eastAsia" w:ascii="仿宋_GB2312" w:hAnsi="仿宋_GB2312" w:eastAsia="仿宋_GB2312" w:cs="仿宋_GB2312"/>
          <w:color w:val="auto"/>
          <w:szCs w:val="21"/>
          <w:highlight w:val="none"/>
        </w:rPr>
        <w:t>确定</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，也可以书面授权</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小组直接确定</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确定方式详见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w:t>
      </w:r>
      <w:r>
        <w:rPr>
          <w:rFonts w:hint="eastAsia" w:ascii="仿宋_GB2312" w:hAnsi="仿宋_GB2312" w:eastAsia="仿宋_GB2312" w:cs="仿宋_GB2312"/>
          <w:color w:val="auto"/>
          <w:szCs w:val="21"/>
          <w:highlight w:val="none"/>
          <w:lang w:val="en-US" w:eastAsia="zh-CN"/>
        </w:rPr>
        <w:t>第</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1条</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招标活动</w:t>
      </w:r>
      <w:r>
        <w:rPr>
          <w:rFonts w:hint="eastAsia" w:ascii="仿宋_GB2312" w:hAnsi="仿宋_GB2312" w:eastAsia="仿宋_GB2312" w:cs="仿宋_GB2312"/>
          <w:b/>
          <w:bCs/>
          <w:color w:val="auto"/>
          <w:szCs w:val="21"/>
          <w:highlight w:val="none"/>
        </w:rPr>
        <w:t>取消</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因重大变故</w:t>
      </w:r>
      <w:r>
        <w:rPr>
          <w:rFonts w:hint="eastAsia" w:ascii="仿宋_GB2312" w:hAnsi="仿宋_GB2312" w:eastAsia="仿宋_GB2312" w:cs="仿宋_GB2312"/>
          <w:color w:val="auto"/>
          <w:szCs w:val="21"/>
          <w:highlight w:val="none"/>
          <w:lang w:val="en-US" w:eastAsia="zh-CN"/>
        </w:rPr>
        <w:t>招标活动</w:t>
      </w:r>
      <w:r>
        <w:rPr>
          <w:rFonts w:hint="eastAsia" w:ascii="仿宋_GB2312" w:hAnsi="仿宋_GB2312" w:eastAsia="仿宋_GB2312" w:cs="仿宋_GB2312"/>
          <w:color w:val="auto"/>
          <w:szCs w:val="21"/>
          <w:highlight w:val="none"/>
        </w:rPr>
        <w:t>取消时，</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有权拒绝任何</w:t>
      </w:r>
      <w:r>
        <w:rPr>
          <w:rFonts w:hint="eastAsia" w:ascii="仿宋_GB2312" w:hAnsi="仿宋_GB2312" w:eastAsia="仿宋_GB2312" w:cs="仿宋_GB2312"/>
          <w:color w:val="auto"/>
          <w:szCs w:val="21"/>
          <w:highlight w:val="none"/>
          <w:lang w:eastAsia="zh-CN"/>
        </w:rPr>
        <w:t>投标人中标</w:t>
      </w:r>
      <w:r>
        <w:rPr>
          <w:rFonts w:hint="eastAsia" w:ascii="仿宋_GB2312" w:hAnsi="仿宋_GB2312" w:eastAsia="仿宋_GB2312" w:cs="仿宋_GB2312"/>
          <w:color w:val="auto"/>
          <w:szCs w:val="21"/>
          <w:highlight w:val="none"/>
        </w:rPr>
        <w:t>，且对受影响的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不承担任何责任。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中标</w:t>
      </w:r>
      <w:r>
        <w:rPr>
          <w:rFonts w:hint="eastAsia" w:ascii="仿宋_GB2312" w:hAnsi="仿宋_GB2312" w:eastAsia="仿宋_GB2312" w:cs="仿宋_GB2312"/>
          <w:b/>
          <w:bCs/>
          <w:color w:val="auto"/>
          <w:szCs w:val="21"/>
          <w:highlight w:val="none"/>
        </w:rPr>
        <w:t>通知书</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应当自</w:t>
      </w:r>
      <w:r>
        <w:rPr>
          <w:rFonts w:hint="eastAsia" w:ascii="仿宋_GB2312" w:hAnsi="仿宋_GB2312" w:eastAsia="仿宋_GB2312" w:cs="仿宋_GB2312"/>
          <w:color w:val="auto"/>
          <w:szCs w:val="21"/>
          <w:highlight w:val="none"/>
          <w:lang w:val="en-US" w:eastAsia="zh-CN"/>
        </w:rPr>
        <w:t>中标候选人公示结束</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个工作日内，向</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发出</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通知书，并将结果通知所有参加</w:t>
      </w:r>
      <w:r>
        <w:rPr>
          <w:rFonts w:hint="eastAsia" w:ascii="仿宋_GB2312" w:hAnsi="仿宋_GB2312" w:eastAsia="仿宋_GB2312" w:cs="仿宋_GB2312"/>
          <w:color w:val="auto"/>
          <w:szCs w:val="21"/>
          <w:highlight w:val="none"/>
          <w:lang w:val="en-US" w:eastAsia="zh-CN"/>
        </w:rPr>
        <w:t>招标活动</w:t>
      </w:r>
      <w:r>
        <w:rPr>
          <w:rFonts w:hint="eastAsia" w:ascii="仿宋_GB2312" w:hAnsi="仿宋_GB2312" w:eastAsia="仿宋_GB2312" w:cs="仿宋_GB2312"/>
          <w:color w:val="auto"/>
          <w:szCs w:val="21"/>
          <w:highlight w:val="none"/>
        </w:rPr>
        <w:t>的未</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通知书是合同的组成部分。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.签订合同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应当自发出</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通知书之日起 30 日内，按照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确定的合同文本以及采购要求等事项签订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.2除不可抗力等因素外，</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通知书发出后，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改变</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结果，或者</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拒绝签订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的，应当承担相应的法律责任。</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及其澄清文件等，均为签订合同的依据。所签订的合同不得对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确定的事项和</w:t>
      </w:r>
      <w:r>
        <w:rPr>
          <w:rFonts w:hint="eastAsia" w:ascii="仿宋_GB2312" w:hAnsi="仿宋_GB2312" w:eastAsia="仿宋_GB2312" w:cs="仿宋_GB2312"/>
          <w:color w:val="auto"/>
          <w:szCs w:val="21"/>
          <w:highlight w:val="none"/>
          <w:lang w:eastAsia="zh-CN"/>
        </w:rPr>
        <w:t>中标人投标文件</w:t>
      </w:r>
      <w:r>
        <w:rPr>
          <w:rFonts w:hint="eastAsia" w:ascii="仿宋_GB2312" w:hAnsi="仿宋_GB2312" w:eastAsia="仿宋_GB2312" w:cs="仿宋_GB2312"/>
          <w:color w:val="auto"/>
          <w:szCs w:val="21"/>
          <w:highlight w:val="none"/>
        </w:rPr>
        <w:t>作实质性修改。</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不得向</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提出任何不合理的要求，作为签订合同的条件，不得与</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订立背离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确定的合同文本以及</w:t>
      </w:r>
      <w:r>
        <w:rPr>
          <w:rFonts w:hint="eastAsia" w:ascii="仿宋_GB2312" w:hAnsi="仿宋_GB2312" w:eastAsia="仿宋_GB2312" w:cs="仿宋_GB2312"/>
          <w:color w:val="auto"/>
          <w:szCs w:val="21"/>
          <w:highlight w:val="none"/>
          <w:lang w:val="en-US" w:eastAsia="zh-CN"/>
        </w:rPr>
        <w:t>招标</w:t>
      </w:r>
      <w:r>
        <w:rPr>
          <w:rFonts w:hint="eastAsia" w:ascii="仿宋_GB2312" w:hAnsi="仿宋_GB2312" w:eastAsia="仿宋_GB2312" w:cs="仿宋_GB2312"/>
          <w:color w:val="auto"/>
          <w:szCs w:val="21"/>
          <w:highlight w:val="none"/>
        </w:rPr>
        <w:t>标的、金额、数量、技术和服务要求等实质性内容的协议。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拒绝与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签订合同的，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可以按照评审报告推荐的</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名单排序，确定下一</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为</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，也可以重新开展</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。拒绝签订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lang w:val="en-US" w:eastAsia="zh-CN"/>
        </w:rPr>
        <w:t>需承担招标人的损失并</w:t>
      </w:r>
      <w:r>
        <w:rPr>
          <w:rFonts w:hint="eastAsia" w:ascii="仿宋_GB2312" w:hAnsi="仿宋_GB2312" w:eastAsia="仿宋_GB2312" w:cs="仿宋_GB2312"/>
          <w:color w:val="auto"/>
          <w:szCs w:val="21"/>
          <w:highlight w:val="none"/>
        </w:rPr>
        <w:t>不得参加对该项目重新开展的</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rPr>
        <w:t>.履约保证金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应按照</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.1款规定向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缴纳履约保证金。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 如果</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没有按照上述履约保证金的规定执行，将视为拒绝签订合同并放弃</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资格，</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将不予退还。在此情况下，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可确定下一</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为</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，也可以重新开展</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.廉洁自律规定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招标人的</w:t>
      </w:r>
      <w:r>
        <w:rPr>
          <w:rFonts w:hint="eastAsia" w:ascii="仿宋_GB2312" w:hAnsi="仿宋_GB2312" w:eastAsia="仿宋_GB2312" w:cs="仿宋_GB2312"/>
          <w:color w:val="auto"/>
          <w:szCs w:val="21"/>
          <w:highlight w:val="none"/>
        </w:rPr>
        <w:t>工作人员不得与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恶意串通操纵</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招标人的</w:t>
      </w:r>
      <w:r>
        <w:rPr>
          <w:rFonts w:hint="eastAsia" w:ascii="仿宋_GB2312" w:hAnsi="仿宋_GB2312" w:eastAsia="仿宋_GB2312" w:cs="仿宋_GB2312"/>
          <w:color w:val="auto"/>
          <w:szCs w:val="21"/>
          <w:highlight w:val="none"/>
        </w:rPr>
        <w:t>工作人员不得接受</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组织的宴请、旅游、娱乐，不得收受礼品、现金、有价证券等，不得向</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报销应当由个人承担的费用。</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.人员回避</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认为</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及其相关人员有法律法规所列与其他</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有利害关系的，可以向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书面提出回避申请，并说明理由。</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.质疑与接收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认为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招标过程</w:t>
      </w:r>
      <w:r>
        <w:rPr>
          <w:rFonts w:hint="eastAsia" w:ascii="仿宋_GB2312" w:hAnsi="仿宋_GB2312" w:eastAsia="仿宋_GB2312" w:cs="仿宋_GB2312"/>
          <w:color w:val="auto"/>
          <w:szCs w:val="21"/>
          <w:highlight w:val="none"/>
        </w:rPr>
        <w:t>和</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结果使自己的权益受到损害的，可以根据</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的有关规定，依法向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提出质疑。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应按照</w:t>
      </w:r>
      <w:r>
        <w:rPr>
          <w:rFonts w:hint="eastAsia" w:ascii="仿宋_GB2312" w:hAnsi="仿宋_GB2312" w:eastAsia="仿宋_GB2312" w:cs="仿宋_GB2312"/>
          <w:color w:val="auto"/>
          <w:szCs w:val="21"/>
          <w:highlight w:val="none"/>
          <w:lang w:val="en-US" w:eastAsia="zh-CN"/>
        </w:rPr>
        <w:t>招标文件规定的</w:t>
      </w:r>
      <w:r>
        <w:rPr>
          <w:rFonts w:hint="eastAsia" w:ascii="仿宋_GB2312" w:hAnsi="仿宋_GB2312" w:eastAsia="仿宋_GB2312" w:cs="仿宋_GB2312"/>
          <w:color w:val="auto"/>
          <w:szCs w:val="21"/>
          <w:highlight w:val="none"/>
        </w:rPr>
        <w:t>质疑期内以</w:t>
      </w:r>
      <w:r>
        <w:rPr>
          <w:rFonts w:hint="eastAsia" w:ascii="仿宋_GB2312" w:hAnsi="仿宋_GB2312" w:eastAsia="仿宋_GB2312" w:cs="仿宋_GB2312"/>
          <w:color w:val="auto"/>
          <w:szCs w:val="21"/>
          <w:highlight w:val="none"/>
          <w:lang w:val="en-US" w:eastAsia="zh-CN"/>
        </w:rPr>
        <w:t>书面</w:t>
      </w:r>
      <w:r>
        <w:rPr>
          <w:rFonts w:hint="eastAsia" w:ascii="仿宋_GB2312" w:hAnsi="仿宋_GB2312" w:eastAsia="仿宋_GB2312" w:cs="仿宋_GB2312"/>
          <w:color w:val="auto"/>
          <w:szCs w:val="21"/>
          <w:highlight w:val="none"/>
        </w:rPr>
        <w:t>形式</w:t>
      </w:r>
      <w:r>
        <w:rPr>
          <w:rFonts w:hint="eastAsia" w:ascii="仿宋_GB2312" w:hAnsi="仿宋_GB2312" w:eastAsia="仿宋_GB2312" w:cs="仿宋_GB2312"/>
          <w:color w:val="auto"/>
          <w:szCs w:val="21"/>
          <w:highlight w:val="none"/>
          <w:lang w:val="en-US" w:eastAsia="zh-CN"/>
        </w:rPr>
        <w:t>通过电子采购平台</w:t>
      </w:r>
      <w:r>
        <w:rPr>
          <w:rFonts w:hint="eastAsia" w:ascii="仿宋_GB2312" w:hAnsi="仿宋_GB2312" w:eastAsia="仿宋_GB2312" w:cs="仿宋_GB2312"/>
          <w:color w:val="auto"/>
          <w:szCs w:val="21"/>
          <w:highlight w:val="none"/>
        </w:rPr>
        <w:t>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超出法定质疑期的、重复提出的、分次提出的或内容、</w:t>
      </w:r>
      <w:r>
        <w:rPr>
          <w:rFonts w:hint="eastAsia" w:ascii="仿宋_GB2312" w:hAnsi="仿宋_GB2312" w:eastAsia="仿宋_GB2312" w:cs="仿宋_GB2312"/>
          <w:color w:val="auto"/>
          <w:szCs w:val="21"/>
          <w:highlight w:val="none"/>
          <w:lang w:val="en-US" w:eastAsia="zh-CN"/>
        </w:rPr>
        <w:t>非书面</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提出</w:t>
      </w:r>
      <w:r>
        <w:rPr>
          <w:rFonts w:hint="eastAsia" w:ascii="仿宋_GB2312" w:hAnsi="仿宋_GB2312" w:eastAsia="仿宋_GB2312" w:cs="仿宋_GB2312"/>
          <w:color w:val="auto"/>
          <w:szCs w:val="21"/>
          <w:highlight w:val="none"/>
        </w:rPr>
        <w:t>质疑</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将依法承担不利后果。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 xml:space="preserve">.3 </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质疑函接收部门、联系电话和通讯地址, 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.3款。</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val="en-US" w:eastAsia="zh-CN"/>
        </w:rPr>
        <w:t>39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其他</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39.1 本项目采购电子招标投标，电子招标投标的操作手册，投标人自行在电子采购平台相关栏目（首页&gt;http://36.140.21.61:8900/）下载。</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（1）电子采购平台系统服务器发生故障，无法访问或无法使用电子采购平台系统；</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（2）电子采购平台系统软件或数据库出现错误，不能进行正常操作的；</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（3）电子采购平台系统发现有安全漏洞，有潜在的泄密危险；</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（4）出现断电事故且短时间内无法恢复供电的；</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（5）其他无法保证招标过程正常进行的情形。</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39.3 若遇不可抗力发生（包括网络瘫痪、服务器损坏、电子采购平台故障短期无法恢复等因素），导致电子采购平台无法正常运行，应终止评审的，应在恢复正常后及时安排时间评审。</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2"/>
        <w:adjustRightInd w:val="0"/>
        <w:snapToGrid w:val="0"/>
        <w:spacing w:before="319" w:beforeLines="100" w:after="319" w:afterLines="100" w:line="360" w:lineRule="auto"/>
        <w:jc w:val="center"/>
        <w:rPr>
          <w:rFonts w:hint="eastAsia" w:ascii="仿宋" w:hAnsi="仿宋" w:eastAsia="仿宋" w:cs="仿宋"/>
          <w:color w:val="auto"/>
          <w:sz w:val="30"/>
          <w:szCs w:val="30"/>
          <w:highlight w:val="none"/>
        </w:rPr>
      </w:pPr>
      <w:bookmarkStart w:id="10" w:name="_Toc5779_WPSOffice_Level1"/>
      <w:bookmarkStart w:id="11" w:name="_Toc3884"/>
      <w:bookmarkStart w:id="12" w:name="_Toc18170"/>
      <w:r>
        <w:rPr>
          <w:rFonts w:hint="eastAsia" w:ascii="仿宋" w:hAnsi="仿宋" w:eastAsia="仿宋" w:cs="仿宋"/>
          <w:color w:val="auto"/>
          <w:sz w:val="30"/>
          <w:szCs w:val="30"/>
          <w:highlight w:val="none"/>
        </w:rPr>
        <w:t xml:space="preserve">第三章 </w:t>
      </w:r>
      <w:r>
        <w:rPr>
          <w:rFonts w:hint="eastAsia" w:ascii="仿宋" w:hAnsi="仿宋" w:eastAsia="仿宋" w:cs="仿宋"/>
          <w:color w:val="auto"/>
          <w:sz w:val="30"/>
          <w:szCs w:val="30"/>
          <w:highlight w:val="none"/>
          <w:lang w:val="en-US" w:eastAsia="zh-CN"/>
        </w:rPr>
        <w:t>招标人</w:t>
      </w:r>
      <w:r>
        <w:rPr>
          <w:rFonts w:hint="eastAsia" w:ascii="仿宋" w:hAnsi="仿宋" w:eastAsia="仿宋" w:cs="仿宋"/>
          <w:color w:val="auto"/>
          <w:sz w:val="30"/>
          <w:szCs w:val="30"/>
          <w:highlight w:val="none"/>
        </w:rPr>
        <w:t>需求</w:t>
      </w:r>
      <w:bookmarkEnd w:id="10"/>
      <w:bookmarkEnd w:id="11"/>
      <w:bookmarkEnd w:id="12"/>
    </w:p>
    <w:p>
      <w:pPr>
        <w:pStyle w:val="24"/>
        <w:keepNext w:val="0"/>
        <w:keepLines w:val="0"/>
        <w:pageBreakBefore w:val="0"/>
        <w:widowControl w:val="0"/>
        <w:numPr>
          <w:ilvl w:val="0"/>
          <w:numId w:val="4"/>
        </w:numPr>
        <w:kinsoku/>
        <w:wordWrap/>
        <w:overflowPunct/>
        <w:topLinePunct w:val="0"/>
        <w:bidi w:val="0"/>
        <w:spacing w:before="0" w:beforeLines="0" w:after="0" w:afterLines="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项目名称：肇庆交投孔湾港务有限公司办公家具采购项目</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交货地点：</w:t>
      </w:r>
      <w:r>
        <w:rPr>
          <w:rFonts w:hint="eastAsia" w:ascii="仿宋" w:hAnsi="仿宋" w:eastAsia="仿宋" w:cs="仿宋"/>
          <w:spacing w:val="10"/>
          <w:kern w:val="0"/>
          <w:sz w:val="24"/>
          <w:szCs w:val="24"/>
          <w:lang w:val="en-US" w:eastAsia="zh-CN" w:bidi="ar-SA"/>
        </w:rPr>
        <w:t>广东省肇庆市高要区小湘镇湘欣路</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交货时间：合同签订后</w:t>
      </w:r>
      <w:r>
        <w:rPr>
          <w:rFonts w:hint="eastAsia" w:ascii="仿宋" w:hAnsi="仿宋" w:eastAsia="仿宋" w:cs="仿宋"/>
          <w:spacing w:val="10"/>
          <w:kern w:val="0"/>
          <w:sz w:val="24"/>
          <w:szCs w:val="24"/>
          <w:lang w:val="en-US" w:eastAsia="zh-CN" w:bidi="ar-SA"/>
        </w:rPr>
        <w:t>7天内将上述清单中的办公家具送达交货地点</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r>
        <w:rPr>
          <w:rFonts w:hint="eastAsia" w:ascii="仿宋" w:hAnsi="仿宋" w:eastAsia="仿宋" w:cs="仿宋"/>
          <w:spacing w:val="10"/>
          <w:kern w:val="0"/>
          <w:sz w:val="24"/>
          <w:szCs w:val="24"/>
          <w:lang w:val="en-US" w:eastAsia="zh-CN" w:bidi="ar-SA"/>
        </w:rPr>
        <w:t>本项目采购的办公家具安装经甲方验收合格后，由乙方开具合法有效等额的增值税专用发票和书面付款申请，甲方根据请款资料在20个工作日内一次性转帐支付本合同办公家具采购及安装费用。否则甲方有权顺延支付相应费用而不被视为违约，亦无须承担任何违约责任</w:t>
      </w:r>
      <w:r>
        <w:rPr>
          <w:rFonts w:hint="eastAsia" w:ascii="宋体" w:hAnsi="宋体" w:eastAsia="宋体" w:cs="宋体"/>
          <w:color w:val="auto"/>
          <w:spacing w:val="15"/>
          <w:kern w:val="0"/>
          <w:sz w:val="24"/>
          <w:szCs w:val="24"/>
          <w:shd w:val="clear" w:color="auto" w:fill="auto"/>
          <w:lang w:bidi="ar"/>
        </w:rPr>
        <w:t>。</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需要执行的技术标准、验收标准及验收方法：</w:t>
      </w:r>
      <w:r>
        <w:rPr>
          <w:rFonts w:hint="eastAsia" w:ascii="仿宋" w:hAnsi="仿宋" w:eastAsia="仿宋" w:cs="仿宋"/>
          <w:spacing w:val="10"/>
          <w:kern w:val="0"/>
          <w:sz w:val="24"/>
          <w:szCs w:val="24"/>
          <w:lang w:val="en-US" w:eastAsia="zh-CN" w:bidi="ar-SA"/>
        </w:rPr>
        <w:t>执行国家、省或行业现行的质量验收标准及规范，符合招标人需求。</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安装调试、技术服务及培训</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质量保证和售后服务要求，需满足的服务标准、期限、效率等</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货物清单：</w:t>
      </w:r>
    </w:p>
    <w:tbl>
      <w:tblPr>
        <w:tblStyle w:val="16"/>
        <w:tblpPr w:leftFromText="180" w:rightFromText="180" w:vertAnchor="text" w:horzAnchor="page" w:tblpXSpec="center" w:tblpY="621"/>
        <w:tblOverlap w:val="never"/>
        <w:tblW w:w="8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1800"/>
        <w:gridCol w:w="1470"/>
        <w:gridCol w:w="1886"/>
        <w:gridCol w:w="944"/>
        <w:gridCol w:w="786"/>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类别</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规格</w:t>
            </w: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材质</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大办公台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领导室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总经办公椅</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领导室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2人沙发</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领导室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屏风办公台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办公椅</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3人沙发加茶几</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等候区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打印机工作台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玻璃文件柜</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会议椅</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茶水柜</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tc>
        <w:tc>
          <w:tcPr>
            <w:tcW w:w="33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备选茶几、桌椅、文件柜等</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kern w:val="2"/>
                <w:sz w:val="24"/>
                <w:szCs w:val="24"/>
                <w:lang w:val="en-US" w:eastAsia="zh-CN" w:bidi="ar-SA"/>
              </w:rPr>
            </w:pPr>
          </w:p>
        </w:tc>
      </w:tr>
    </w:tbl>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sz w:val="24"/>
          <w:szCs w:val="24"/>
          <w:lang w:val="en-US" w:eastAsia="zh-CN"/>
        </w:rPr>
      </w:pPr>
    </w:p>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sz w:val="24"/>
          <w:szCs w:val="24"/>
          <w:lang w:val="en-US" w:eastAsia="zh-CN"/>
        </w:rPr>
      </w:pPr>
    </w:p>
    <w:p>
      <w:pPr>
        <w:pStyle w:val="25"/>
        <w:keepNext w:val="0"/>
        <w:keepLines w:val="0"/>
        <w:pageBreakBefore w:val="0"/>
        <w:widowControl w:val="0"/>
        <w:numPr>
          <w:ilvl w:val="0"/>
          <w:numId w:val="5"/>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sectPr>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pPr>
    </w:p>
    <w:p>
      <w:pPr>
        <w:pStyle w:val="2"/>
        <w:adjustRightInd w:val="0"/>
        <w:snapToGrid w:val="0"/>
        <w:spacing w:before="319" w:beforeLines="100" w:after="319" w:afterLines="100" w:line="360" w:lineRule="auto"/>
        <w:jc w:val="center"/>
        <w:rPr>
          <w:rFonts w:hint="eastAsia" w:ascii="仿宋" w:hAnsi="仿宋" w:eastAsia="仿宋" w:cs="仿宋"/>
          <w:strike w:val="0"/>
          <w:dstrike w:val="0"/>
          <w:color w:val="auto"/>
          <w:highlight w:val="none"/>
          <w:lang w:val="en-US" w:eastAsia="zh-CN"/>
        </w:rPr>
      </w:pPr>
      <w:bookmarkStart w:id="13" w:name="_Toc16103"/>
      <w:r>
        <w:rPr>
          <w:rFonts w:hint="eastAsia" w:ascii="仿宋" w:hAnsi="仿宋" w:eastAsia="仿宋" w:cs="仿宋"/>
          <w:strike w:val="0"/>
          <w:dstrike w:val="0"/>
          <w:color w:val="auto"/>
          <w:highlight w:val="none"/>
        </w:rPr>
        <w:t>第四章 评审方法</w:t>
      </w:r>
      <w:r>
        <w:rPr>
          <w:rFonts w:hint="eastAsia" w:ascii="仿宋" w:hAnsi="仿宋" w:eastAsia="仿宋" w:cs="仿宋"/>
          <w:strike w:val="0"/>
          <w:dstrike w:val="0"/>
          <w:color w:val="auto"/>
          <w:highlight w:val="none"/>
          <w:lang w:eastAsia="zh-CN"/>
        </w:rPr>
        <w:t>（</w:t>
      </w:r>
      <w:r>
        <w:rPr>
          <w:rFonts w:hint="eastAsia" w:ascii="仿宋" w:hAnsi="仿宋" w:eastAsia="仿宋" w:cs="仿宋"/>
          <w:strike w:val="0"/>
          <w:dstrike w:val="0"/>
          <w:color w:val="auto"/>
          <w:highlight w:val="none"/>
          <w:lang w:val="en-US" w:eastAsia="zh-CN"/>
        </w:rPr>
        <w:t>综合评分法）</w:t>
      </w:r>
      <w:bookmarkEnd w:id="13"/>
    </w:p>
    <w:p>
      <w:pPr>
        <w:adjustRightInd w:val="0"/>
        <w:snapToGrid w:val="0"/>
        <w:spacing w:line="360" w:lineRule="auto"/>
        <w:ind w:firstLine="420"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Cs/>
          <w:strike w:val="0"/>
          <w:dstrike w:val="0"/>
          <w:color w:val="auto"/>
          <w:kern w:val="0"/>
          <w:szCs w:val="21"/>
          <w:highlight w:val="none"/>
        </w:rPr>
        <w:t>本项目将按照</w:t>
      </w:r>
      <w:r>
        <w:rPr>
          <w:rFonts w:hint="eastAsia" w:ascii="仿宋" w:hAnsi="仿宋" w:eastAsia="仿宋" w:cs="仿宋"/>
          <w:bCs/>
          <w:strike w:val="0"/>
          <w:dstrike w:val="0"/>
          <w:color w:val="auto"/>
          <w:kern w:val="0"/>
          <w:szCs w:val="21"/>
          <w:highlight w:val="none"/>
          <w:lang w:val="en-US" w:eastAsia="zh-CN"/>
        </w:rPr>
        <w:t>招标文件</w:t>
      </w:r>
      <w:r>
        <w:rPr>
          <w:rFonts w:hint="eastAsia" w:ascii="仿宋" w:hAnsi="仿宋" w:eastAsia="仿宋" w:cs="仿宋"/>
          <w:bCs/>
          <w:strike w:val="0"/>
          <w:dstrike w:val="0"/>
          <w:color w:val="auto"/>
          <w:kern w:val="0"/>
          <w:szCs w:val="21"/>
          <w:highlight w:val="none"/>
        </w:rPr>
        <w:t>第</w:t>
      </w:r>
      <w:r>
        <w:rPr>
          <w:rFonts w:hint="eastAsia" w:ascii="仿宋" w:hAnsi="仿宋" w:eastAsia="仿宋" w:cs="仿宋"/>
          <w:bCs/>
          <w:strike w:val="0"/>
          <w:dstrike w:val="0"/>
          <w:color w:val="auto"/>
          <w:kern w:val="0"/>
          <w:szCs w:val="21"/>
          <w:highlight w:val="none"/>
          <w:lang w:val="en-US" w:eastAsia="zh-CN"/>
        </w:rPr>
        <w:t>二</w:t>
      </w:r>
      <w:r>
        <w:rPr>
          <w:rFonts w:hint="eastAsia" w:ascii="仿宋" w:hAnsi="仿宋" w:eastAsia="仿宋" w:cs="仿宋"/>
          <w:bCs/>
          <w:strike w:val="0"/>
          <w:dstrike w:val="0"/>
          <w:color w:val="auto"/>
          <w:kern w:val="0"/>
          <w:szCs w:val="21"/>
          <w:highlight w:val="none"/>
        </w:rPr>
        <w:t>章</w:t>
      </w:r>
      <w:r>
        <w:rPr>
          <w:rFonts w:hint="eastAsia" w:ascii="仿宋" w:hAnsi="仿宋" w:eastAsia="仿宋" w:cs="仿宋"/>
          <w:bCs/>
          <w:strike w:val="0"/>
          <w:dstrike w:val="0"/>
          <w:color w:val="auto"/>
          <w:kern w:val="0"/>
          <w:szCs w:val="21"/>
          <w:highlight w:val="none"/>
          <w:lang w:eastAsia="zh-CN"/>
        </w:rPr>
        <w:t>投标人</w:t>
      </w:r>
      <w:r>
        <w:rPr>
          <w:rFonts w:hint="eastAsia" w:ascii="仿宋" w:hAnsi="仿宋" w:eastAsia="仿宋" w:cs="仿宋"/>
          <w:bCs/>
          <w:strike w:val="0"/>
          <w:dstrike w:val="0"/>
          <w:color w:val="auto"/>
          <w:kern w:val="0"/>
          <w:szCs w:val="21"/>
          <w:highlight w:val="none"/>
        </w:rPr>
        <w:t>须知中“六 评审”、“七 确定</w:t>
      </w:r>
      <w:r>
        <w:rPr>
          <w:rFonts w:hint="eastAsia" w:ascii="仿宋" w:hAnsi="仿宋" w:eastAsia="仿宋" w:cs="仿宋"/>
          <w:bCs/>
          <w:strike w:val="0"/>
          <w:dstrike w:val="0"/>
          <w:color w:val="auto"/>
          <w:kern w:val="0"/>
          <w:szCs w:val="21"/>
          <w:highlight w:val="none"/>
          <w:lang w:eastAsia="zh-CN"/>
        </w:rPr>
        <w:t>中标</w:t>
      </w:r>
      <w:r>
        <w:rPr>
          <w:rFonts w:hint="eastAsia" w:ascii="仿宋" w:hAnsi="仿宋" w:eastAsia="仿宋" w:cs="仿宋"/>
          <w:bCs/>
          <w:strike w:val="0"/>
          <w:dstrike w:val="0"/>
          <w:color w:val="auto"/>
          <w:kern w:val="0"/>
          <w:szCs w:val="21"/>
          <w:highlight w:val="none"/>
        </w:rPr>
        <w:t>”及本章的规定评审。</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一、评审方法</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lang w:val="en-US" w:eastAsia="zh-CN"/>
        </w:rPr>
        <w:t>综合</w:t>
      </w:r>
      <w:r>
        <w:rPr>
          <w:rFonts w:hint="eastAsia" w:ascii="仿宋" w:hAnsi="仿宋" w:eastAsia="仿宋" w:cs="仿宋"/>
          <w:strike w:val="0"/>
          <w:dstrike w:val="0"/>
          <w:color w:val="auto"/>
          <w:kern w:val="0"/>
          <w:szCs w:val="21"/>
          <w:highlight w:val="none"/>
        </w:rPr>
        <w:t>评</w:t>
      </w:r>
      <w:r>
        <w:rPr>
          <w:rFonts w:hint="eastAsia" w:ascii="仿宋" w:hAnsi="仿宋" w:eastAsia="仿宋" w:cs="仿宋"/>
          <w:strike w:val="0"/>
          <w:dstrike w:val="0"/>
          <w:color w:val="auto"/>
          <w:kern w:val="0"/>
          <w:szCs w:val="21"/>
          <w:highlight w:val="none"/>
          <w:lang w:val="en-US" w:eastAsia="zh-CN"/>
        </w:rPr>
        <w:t>分</w:t>
      </w:r>
      <w:r>
        <w:rPr>
          <w:rFonts w:hint="eastAsia" w:ascii="仿宋" w:hAnsi="仿宋" w:eastAsia="仿宋" w:cs="仿宋"/>
          <w:strike w:val="0"/>
          <w:dstrike w:val="0"/>
          <w:color w:val="auto"/>
          <w:kern w:val="0"/>
          <w:szCs w:val="21"/>
          <w:highlight w:val="none"/>
        </w:rPr>
        <w:t>法。</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二、评审原则及程序</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（一）评审原则</w:t>
      </w:r>
    </w:p>
    <w:p>
      <w:pPr>
        <w:adjustRightInd w:val="0"/>
        <w:snapToGrid w:val="0"/>
        <w:spacing w:line="360" w:lineRule="auto"/>
        <w:ind w:firstLine="420" w:firstLineChars="200"/>
        <w:textAlignment w:val="baseline"/>
        <w:rPr>
          <w:rFonts w:hint="eastAsia" w:ascii="仿宋" w:hAnsi="仿宋" w:eastAsia="仿宋" w:cs="仿宋"/>
          <w:strike w:val="0"/>
          <w:dstrike w:val="0"/>
          <w:color w:val="auto"/>
          <w:kern w:val="0"/>
          <w:highlight w:val="none"/>
        </w:rPr>
      </w:pPr>
      <w:r>
        <w:rPr>
          <w:rFonts w:hint="eastAsia" w:ascii="仿宋" w:hAnsi="仿宋" w:eastAsia="仿宋" w:cs="仿宋"/>
          <w:strike w:val="0"/>
          <w:dstrike w:val="0"/>
          <w:color w:val="auto"/>
          <w:kern w:val="0"/>
          <w:highlight w:val="none"/>
          <w:lang w:eastAsia="zh-CN"/>
        </w:rPr>
        <w:t>评审小组</w:t>
      </w:r>
      <w:r>
        <w:rPr>
          <w:rFonts w:hint="eastAsia" w:ascii="仿宋" w:hAnsi="仿宋" w:eastAsia="仿宋" w:cs="仿宋"/>
          <w:strike w:val="0"/>
          <w:dstrike w:val="0"/>
          <w:color w:val="auto"/>
          <w:kern w:val="0"/>
          <w:highlight w:val="none"/>
        </w:rPr>
        <w:t>应当遵</w:t>
      </w:r>
      <w:r>
        <w:rPr>
          <w:rFonts w:hint="eastAsia" w:ascii="仿宋" w:hAnsi="仿宋" w:eastAsia="仿宋" w:cs="仿宋"/>
          <w:strike w:val="0"/>
          <w:dstrike w:val="0"/>
          <w:color w:val="auto"/>
          <w:szCs w:val="21"/>
          <w:highlight w:val="none"/>
        </w:rPr>
        <w:t>纪守法，客观、公正、廉洁地履行职责</w:t>
      </w:r>
      <w:r>
        <w:rPr>
          <w:rFonts w:hint="eastAsia" w:ascii="仿宋" w:hAnsi="仿宋" w:eastAsia="仿宋" w:cs="仿宋"/>
          <w:strike w:val="0"/>
          <w:dstrike w:val="0"/>
          <w:color w:val="auto"/>
          <w:kern w:val="0"/>
          <w:highlight w:val="none"/>
        </w:rPr>
        <w:t>，根据</w:t>
      </w:r>
      <w:r>
        <w:rPr>
          <w:rFonts w:hint="eastAsia" w:ascii="仿宋" w:hAnsi="仿宋" w:eastAsia="仿宋" w:cs="仿宋"/>
          <w:strike w:val="0"/>
          <w:dstrike w:val="0"/>
          <w:color w:val="auto"/>
          <w:szCs w:val="21"/>
          <w:highlight w:val="none"/>
          <w:lang w:val="en-US" w:eastAsia="zh-CN"/>
        </w:rPr>
        <w:t>招标文件</w:t>
      </w:r>
      <w:r>
        <w:rPr>
          <w:rFonts w:hint="eastAsia" w:ascii="仿宋" w:hAnsi="仿宋" w:eastAsia="仿宋" w:cs="仿宋"/>
          <w:strike w:val="0"/>
          <w:dstrike w:val="0"/>
          <w:color w:val="auto"/>
          <w:kern w:val="0"/>
          <w:highlight w:val="none"/>
        </w:rPr>
        <w:t>规定的评审程序、评审方法和评审标准进行独立评审。</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（二）评审程序</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lang w:eastAsia="zh-CN"/>
        </w:rPr>
      </w:pPr>
      <w:r>
        <w:rPr>
          <w:rFonts w:hint="eastAsia" w:ascii="仿宋" w:hAnsi="仿宋" w:eastAsia="仿宋" w:cs="仿宋"/>
          <w:b/>
          <w:strike w:val="0"/>
          <w:dstrike w:val="0"/>
          <w:color w:val="auto"/>
          <w:kern w:val="0"/>
          <w:szCs w:val="21"/>
          <w:highlight w:val="none"/>
        </w:rPr>
        <w:t>1、确认</w:t>
      </w:r>
      <w:r>
        <w:rPr>
          <w:rFonts w:hint="eastAsia" w:ascii="仿宋" w:hAnsi="仿宋" w:eastAsia="仿宋" w:cs="仿宋"/>
          <w:b/>
          <w:strike w:val="0"/>
          <w:dstrike w:val="0"/>
          <w:color w:val="auto"/>
          <w:kern w:val="0"/>
          <w:szCs w:val="21"/>
          <w:highlight w:val="none"/>
          <w:lang w:eastAsia="zh-CN"/>
        </w:rPr>
        <w:t>招标文件</w:t>
      </w:r>
    </w:p>
    <w:p>
      <w:pPr>
        <w:adjustRightInd w:val="0"/>
        <w:snapToGrid w:val="0"/>
        <w:spacing w:line="360" w:lineRule="auto"/>
        <w:ind w:firstLine="420"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strike w:val="0"/>
          <w:dstrike w:val="0"/>
          <w:color w:val="auto"/>
          <w:kern w:val="0"/>
          <w:highlight w:val="none"/>
          <w:lang w:val="en-US" w:eastAsia="zh-CN"/>
        </w:rPr>
        <w:t>招标文件</w:t>
      </w:r>
      <w:r>
        <w:rPr>
          <w:rFonts w:hint="eastAsia" w:ascii="仿宋" w:hAnsi="仿宋" w:eastAsia="仿宋" w:cs="仿宋"/>
          <w:strike w:val="0"/>
          <w:dstrike w:val="0"/>
          <w:color w:val="auto"/>
          <w:kern w:val="0"/>
          <w:highlight w:val="none"/>
        </w:rPr>
        <w:t>内容违反国家有关强制性规定的，</w:t>
      </w:r>
      <w:r>
        <w:rPr>
          <w:rFonts w:hint="eastAsia" w:ascii="仿宋" w:hAnsi="仿宋" w:eastAsia="仿宋" w:cs="仿宋"/>
          <w:strike w:val="0"/>
          <w:dstrike w:val="0"/>
          <w:color w:val="auto"/>
          <w:kern w:val="0"/>
          <w:highlight w:val="none"/>
          <w:lang w:eastAsia="zh-CN"/>
        </w:rPr>
        <w:t>评审小组</w:t>
      </w:r>
      <w:r>
        <w:rPr>
          <w:rFonts w:hint="eastAsia" w:ascii="仿宋" w:hAnsi="仿宋" w:eastAsia="仿宋" w:cs="仿宋"/>
          <w:strike w:val="0"/>
          <w:dstrike w:val="0"/>
          <w:color w:val="auto"/>
          <w:kern w:val="0"/>
          <w:highlight w:val="none"/>
        </w:rPr>
        <w:t>应当停止评审并向</w:t>
      </w:r>
      <w:r>
        <w:rPr>
          <w:rFonts w:hint="eastAsia" w:ascii="仿宋" w:hAnsi="仿宋" w:eastAsia="仿宋" w:cs="仿宋"/>
          <w:strike w:val="0"/>
          <w:dstrike w:val="0"/>
          <w:color w:val="auto"/>
          <w:kern w:val="0"/>
          <w:highlight w:val="none"/>
          <w:lang w:eastAsia="zh-CN"/>
        </w:rPr>
        <w:t>招标人</w:t>
      </w:r>
      <w:r>
        <w:rPr>
          <w:rFonts w:hint="eastAsia" w:ascii="仿宋" w:hAnsi="仿宋" w:eastAsia="仿宋" w:cs="仿宋"/>
          <w:strike w:val="0"/>
          <w:dstrike w:val="0"/>
          <w:color w:val="auto"/>
          <w:kern w:val="0"/>
          <w:highlight w:val="none"/>
        </w:rPr>
        <w:t>说明情况。</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2资格审查</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须知2</w:t>
      </w:r>
      <w:r>
        <w:rPr>
          <w:rFonts w:hint="eastAsia" w:ascii="仿宋" w:hAnsi="仿宋" w:eastAsia="仿宋" w:cs="仿宋"/>
          <w:strike w:val="0"/>
          <w:dstrike w:val="0"/>
          <w:color w:val="auto"/>
          <w:kern w:val="0"/>
          <w:szCs w:val="21"/>
          <w:highlight w:val="none"/>
          <w:lang w:val="en-US" w:eastAsia="zh-CN"/>
        </w:rPr>
        <w:t>3</w:t>
      </w:r>
      <w:r>
        <w:rPr>
          <w:rFonts w:hint="eastAsia" w:ascii="仿宋" w:hAnsi="仿宋" w:eastAsia="仿宋" w:cs="仿宋"/>
          <w:strike w:val="0"/>
          <w:dstrike w:val="0"/>
          <w:color w:val="auto"/>
          <w:kern w:val="0"/>
          <w:szCs w:val="21"/>
          <w:highlight w:val="none"/>
        </w:rPr>
        <w:t>条。资格审查表详见本章附件1。</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3.符合性检查</w:t>
      </w:r>
    </w:p>
    <w:p>
      <w:pPr>
        <w:adjustRightInd w:val="0"/>
        <w:snapToGrid w:val="0"/>
        <w:spacing w:line="360" w:lineRule="auto"/>
        <w:ind w:firstLine="420" w:firstLineChars="200"/>
        <w:rPr>
          <w:rFonts w:hint="eastAsia" w:ascii="仿宋" w:hAnsi="仿宋" w:eastAsia="仿宋" w:cs="仿宋"/>
          <w:strike w:val="0"/>
          <w:dstrike w:val="0"/>
          <w:color w:val="auto"/>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须知2</w:t>
      </w:r>
      <w:r>
        <w:rPr>
          <w:rFonts w:hint="eastAsia" w:ascii="仿宋" w:hAnsi="仿宋" w:eastAsia="仿宋" w:cs="仿宋"/>
          <w:strike w:val="0"/>
          <w:dstrike w:val="0"/>
          <w:color w:val="auto"/>
          <w:kern w:val="0"/>
          <w:szCs w:val="21"/>
          <w:highlight w:val="none"/>
          <w:lang w:val="en-US" w:eastAsia="zh-CN"/>
        </w:rPr>
        <w:t>4</w:t>
      </w:r>
      <w:r>
        <w:rPr>
          <w:rFonts w:hint="eastAsia" w:ascii="仿宋" w:hAnsi="仿宋" w:eastAsia="仿宋" w:cs="仿宋"/>
          <w:strike w:val="0"/>
          <w:dstrike w:val="0"/>
          <w:color w:val="auto"/>
          <w:kern w:val="0"/>
          <w:szCs w:val="21"/>
          <w:highlight w:val="none"/>
        </w:rPr>
        <w:t>款。符合性审查表详见本章附件2。</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lang w:eastAsia="zh-CN"/>
        </w:rPr>
      </w:pPr>
      <w:r>
        <w:rPr>
          <w:rFonts w:hint="eastAsia" w:ascii="仿宋" w:hAnsi="仿宋" w:eastAsia="仿宋" w:cs="仿宋"/>
          <w:b/>
          <w:bCs/>
          <w:strike w:val="0"/>
          <w:dstrike w:val="0"/>
          <w:color w:val="auto"/>
          <w:kern w:val="0"/>
          <w:szCs w:val="21"/>
          <w:highlight w:val="none"/>
          <w:lang w:val="en-US" w:eastAsia="zh-CN"/>
        </w:rPr>
        <w:t>4</w:t>
      </w:r>
      <w:r>
        <w:rPr>
          <w:rFonts w:hint="eastAsia" w:ascii="仿宋" w:hAnsi="仿宋" w:eastAsia="仿宋" w:cs="仿宋"/>
          <w:b/>
          <w:bCs/>
          <w:strike w:val="0"/>
          <w:dstrike w:val="0"/>
          <w:color w:val="auto"/>
          <w:kern w:val="0"/>
          <w:szCs w:val="21"/>
          <w:highlight w:val="none"/>
        </w:rPr>
        <w:t>、比较及评</w:t>
      </w:r>
      <w:r>
        <w:rPr>
          <w:rFonts w:hint="eastAsia" w:ascii="仿宋" w:hAnsi="仿宋" w:eastAsia="仿宋" w:cs="仿宋"/>
          <w:b/>
          <w:bCs/>
          <w:strike w:val="0"/>
          <w:dstrike w:val="0"/>
          <w:color w:val="auto"/>
          <w:kern w:val="0"/>
          <w:szCs w:val="21"/>
          <w:highlight w:val="none"/>
          <w:lang w:val="en-US" w:eastAsia="zh-CN"/>
        </w:rPr>
        <w:t>审</w:t>
      </w:r>
    </w:p>
    <w:p>
      <w:pPr>
        <w:adjustRightInd w:val="0"/>
        <w:snapToGrid w:val="0"/>
        <w:spacing w:line="360" w:lineRule="auto"/>
        <w:ind w:firstLine="420" w:firstLineChars="200"/>
        <w:rPr>
          <w:rFonts w:ascii="仿宋_GB2312" w:hAnsi="仿宋_GB2312" w:eastAsia="仿宋_GB2312" w:cs="仿宋_GB2312"/>
          <w:strike w:val="0"/>
          <w:dstrike w:val="0"/>
          <w:color w:val="auto"/>
          <w:kern w:val="0"/>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.1</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kern w:val="0"/>
          <w:szCs w:val="21"/>
          <w:highlight w:val="none"/>
        </w:rPr>
        <w:t>对通过资格审查、符合性审查的</w:t>
      </w:r>
      <w:r>
        <w:rPr>
          <w:rFonts w:hint="eastAsia" w:ascii="仿宋_GB2312" w:hAnsi="仿宋_GB2312" w:eastAsia="仿宋_GB2312" w:cs="仿宋_GB2312"/>
          <w:strike w:val="0"/>
          <w:dstrike w:val="0"/>
          <w:color w:val="auto"/>
          <w:kern w:val="0"/>
          <w:szCs w:val="21"/>
          <w:highlight w:val="none"/>
          <w:lang w:eastAsia="zh-CN"/>
        </w:rPr>
        <w:t>投标文件</w:t>
      </w:r>
      <w:r>
        <w:rPr>
          <w:rFonts w:hint="eastAsia" w:ascii="仿宋_GB2312" w:hAnsi="仿宋_GB2312" w:eastAsia="仿宋_GB2312" w:cs="仿宋_GB2312"/>
          <w:strike w:val="0"/>
          <w:dstrike w:val="0"/>
          <w:color w:val="auto"/>
          <w:kern w:val="0"/>
          <w:szCs w:val="21"/>
          <w:highlight w:val="none"/>
        </w:rPr>
        <w:t>进行比较和评</w:t>
      </w:r>
      <w:r>
        <w:rPr>
          <w:rFonts w:hint="eastAsia" w:ascii="仿宋_GB2312" w:hAnsi="仿宋_GB2312" w:eastAsia="仿宋_GB2312" w:cs="仿宋_GB2312"/>
          <w:strike w:val="0"/>
          <w:dstrike w:val="0"/>
          <w:color w:val="auto"/>
          <w:kern w:val="0"/>
          <w:szCs w:val="21"/>
          <w:highlight w:val="none"/>
          <w:lang w:val="en-US" w:eastAsia="zh-CN"/>
        </w:rPr>
        <w:t>审</w:t>
      </w:r>
      <w:r>
        <w:rPr>
          <w:rFonts w:hint="eastAsia" w:ascii="仿宋_GB2312" w:hAnsi="仿宋_GB2312" w:eastAsia="仿宋_GB2312" w:cs="仿宋_GB2312"/>
          <w:strike w:val="0"/>
          <w:dstrike w:val="0"/>
          <w:color w:val="auto"/>
          <w:kern w:val="0"/>
          <w:szCs w:val="21"/>
          <w:highlight w:val="none"/>
        </w:rPr>
        <w:t>。</w:t>
      </w:r>
    </w:p>
    <w:p>
      <w:pPr>
        <w:adjustRightInd w:val="0"/>
        <w:snapToGrid w:val="0"/>
        <w:spacing w:line="360" w:lineRule="auto"/>
        <w:ind w:firstLine="420" w:firstLineChars="200"/>
        <w:rPr>
          <w:rFonts w:ascii="仿宋_GB2312" w:hAnsi="仿宋_GB2312" w:eastAsia="仿宋_GB2312" w:cs="仿宋_GB2312"/>
          <w:strike w:val="0"/>
          <w:dstrike w:val="0"/>
          <w:color w:val="auto"/>
          <w:kern w:val="0"/>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.2对</w:t>
      </w:r>
      <w:r>
        <w:rPr>
          <w:rFonts w:hint="eastAsia" w:ascii="仿宋_GB2312" w:hAnsi="仿宋_GB2312" w:eastAsia="仿宋_GB2312" w:cs="仿宋_GB2312"/>
          <w:strike w:val="0"/>
          <w:dstrike w:val="0"/>
          <w:color w:val="auto"/>
          <w:kern w:val="0"/>
          <w:szCs w:val="21"/>
          <w:highlight w:val="none"/>
          <w:lang w:eastAsia="zh-CN"/>
        </w:rPr>
        <w:t>投标文件</w:t>
      </w:r>
      <w:r>
        <w:rPr>
          <w:rFonts w:hint="eastAsia" w:ascii="仿宋_GB2312" w:hAnsi="仿宋_GB2312" w:eastAsia="仿宋_GB2312" w:cs="仿宋_GB2312"/>
          <w:strike w:val="0"/>
          <w:dstrike w:val="0"/>
          <w:color w:val="auto"/>
          <w:kern w:val="0"/>
          <w:szCs w:val="21"/>
          <w:highlight w:val="none"/>
        </w:rPr>
        <w:t>的澄清按</w:t>
      </w:r>
      <w:r>
        <w:rPr>
          <w:rFonts w:hint="eastAsia" w:ascii="仿宋_GB2312" w:hAnsi="仿宋_GB2312" w:eastAsia="仿宋_GB2312" w:cs="仿宋_GB2312"/>
          <w:strike w:val="0"/>
          <w:dstrike w:val="0"/>
          <w:color w:val="auto"/>
          <w:kern w:val="0"/>
          <w:szCs w:val="21"/>
          <w:highlight w:val="none"/>
          <w:lang w:eastAsia="zh-CN"/>
        </w:rPr>
        <w:t>投标人</w:t>
      </w:r>
      <w:r>
        <w:rPr>
          <w:rFonts w:hint="eastAsia" w:ascii="仿宋_GB2312" w:hAnsi="仿宋_GB2312" w:eastAsia="仿宋_GB2312" w:cs="仿宋_GB2312"/>
          <w:strike w:val="0"/>
          <w:dstrike w:val="0"/>
          <w:color w:val="auto"/>
          <w:kern w:val="0"/>
          <w:szCs w:val="21"/>
          <w:highlight w:val="none"/>
        </w:rPr>
        <w:t>须知2</w:t>
      </w: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条内容执行。</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.3</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szCs w:val="21"/>
          <w:highlight w:val="none"/>
        </w:rPr>
        <w:t>认为</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的报价明显低于其他通过符合性审查的</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报价，有可能影响产品质量或者不能诚信履约的</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应当要求其在评审现场合理的时间（</w:t>
      </w:r>
      <w:r>
        <w:rPr>
          <w:rFonts w:hint="eastAsia" w:ascii="仿宋_GB2312" w:hAnsi="仿宋_GB2312" w:eastAsia="仿宋_GB2312" w:cs="仿宋_GB2312"/>
          <w:strike w:val="0"/>
          <w:dstrike w:val="0"/>
          <w:color w:val="auto"/>
          <w:kern w:val="0"/>
          <w:szCs w:val="21"/>
          <w:highlight w:val="none"/>
        </w:rPr>
        <w:t>接到通知后</w:t>
      </w:r>
      <w:r>
        <w:rPr>
          <w:rFonts w:hint="eastAsia" w:ascii="仿宋_GB2312" w:hAnsi="仿宋_GB2312" w:eastAsia="仿宋_GB2312" w:cs="仿宋_GB2312"/>
          <w:b/>
          <w:bCs/>
          <w:strike w:val="0"/>
          <w:dstrike w:val="0"/>
          <w:color w:val="auto"/>
          <w:kern w:val="0"/>
          <w:szCs w:val="21"/>
          <w:highlight w:val="none"/>
          <w:u w:val="single"/>
        </w:rPr>
        <w:t xml:space="preserve"> </w:t>
      </w:r>
      <w:r>
        <w:rPr>
          <w:rFonts w:hint="eastAsia" w:ascii="仿宋_GB2312" w:hAnsi="仿宋_GB2312" w:eastAsia="仿宋_GB2312" w:cs="仿宋_GB2312"/>
          <w:b/>
          <w:bCs/>
          <w:strike w:val="0"/>
          <w:dstrike w:val="0"/>
          <w:color w:val="auto"/>
          <w:kern w:val="0"/>
          <w:szCs w:val="21"/>
          <w:highlight w:val="none"/>
          <w:u w:val="single"/>
          <w:lang w:val="en-US" w:eastAsia="zh-CN"/>
        </w:rPr>
        <w:t>1</w:t>
      </w:r>
      <w:r>
        <w:rPr>
          <w:rFonts w:hint="eastAsia" w:ascii="仿宋_GB2312" w:hAnsi="仿宋_GB2312" w:eastAsia="仿宋_GB2312" w:cs="仿宋_GB2312"/>
          <w:b/>
          <w:bCs/>
          <w:strike w:val="0"/>
          <w:dstrike w:val="0"/>
          <w:color w:val="auto"/>
          <w:kern w:val="0"/>
          <w:szCs w:val="21"/>
          <w:highlight w:val="none"/>
          <w:u w:val="single"/>
        </w:rPr>
        <w:t xml:space="preserve"> </w:t>
      </w:r>
      <w:r>
        <w:rPr>
          <w:rFonts w:hint="eastAsia" w:ascii="仿宋_GB2312" w:hAnsi="仿宋_GB2312" w:eastAsia="仿宋_GB2312" w:cs="仿宋_GB2312"/>
          <w:strike w:val="0"/>
          <w:dstrike w:val="0"/>
          <w:color w:val="auto"/>
          <w:kern w:val="0"/>
          <w:szCs w:val="21"/>
          <w:highlight w:val="none"/>
        </w:rPr>
        <w:t>小时</w:t>
      </w:r>
      <w:r>
        <w:rPr>
          <w:rFonts w:hint="eastAsia" w:ascii="仿宋_GB2312" w:hAnsi="仿宋_GB2312" w:eastAsia="仿宋_GB2312" w:cs="仿宋_GB2312"/>
          <w:strike w:val="0"/>
          <w:dstrike w:val="0"/>
          <w:color w:val="auto"/>
          <w:szCs w:val="21"/>
          <w:highlight w:val="none"/>
        </w:rPr>
        <w:t>）内</w:t>
      </w:r>
      <w:r>
        <w:rPr>
          <w:rFonts w:hint="eastAsia" w:ascii="仿宋_GB2312" w:hAnsi="仿宋_GB2312" w:eastAsia="仿宋_GB2312" w:cs="仿宋_GB2312"/>
          <w:color w:val="auto"/>
          <w:szCs w:val="21"/>
          <w:highlight w:val="none"/>
          <w:lang w:val="en-US" w:eastAsia="zh-CN"/>
        </w:rPr>
        <w:t>通过电子采购平台</w:t>
      </w:r>
      <w:r>
        <w:rPr>
          <w:rFonts w:hint="eastAsia" w:ascii="仿宋_GB2312" w:hAnsi="仿宋_GB2312" w:eastAsia="仿宋_GB2312" w:cs="仿宋_GB2312"/>
          <w:strike w:val="0"/>
          <w:dstrike w:val="0"/>
          <w:color w:val="auto"/>
          <w:szCs w:val="21"/>
          <w:highlight w:val="none"/>
        </w:rPr>
        <w:t>提供书面说明，并提交相关证明材料，</w:t>
      </w:r>
      <w:r>
        <w:rPr>
          <w:rFonts w:hint="eastAsia" w:ascii="仿宋_GB2312" w:hAnsi="仿宋_GB2312" w:eastAsia="仿宋_GB2312" w:cs="仿宋_GB2312"/>
          <w:strike w:val="0"/>
          <w:dstrike w:val="0"/>
          <w:color w:val="auto"/>
          <w:kern w:val="0"/>
          <w:szCs w:val="21"/>
          <w:highlight w:val="none"/>
          <w:lang w:eastAsia="zh-CN"/>
        </w:rPr>
        <w:t>投标人</w:t>
      </w:r>
      <w:r>
        <w:rPr>
          <w:rFonts w:hint="eastAsia" w:ascii="仿宋_GB2312" w:hAnsi="仿宋_GB2312" w:eastAsia="仿宋_GB2312" w:cs="仿宋_GB2312"/>
          <w:strike w:val="0"/>
          <w:dstrike w:val="0"/>
          <w:color w:val="auto"/>
          <w:kern w:val="0"/>
          <w:szCs w:val="21"/>
          <w:highlight w:val="none"/>
        </w:rPr>
        <w:t>不能证明其报价合理性的，</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kern w:val="0"/>
          <w:szCs w:val="21"/>
          <w:highlight w:val="none"/>
        </w:rPr>
        <w:t>应当将</w:t>
      </w:r>
      <w:r>
        <w:rPr>
          <w:rFonts w:hint="eastAsia" w:ascii="仿宋_GB2312" w:hAnsi="仿宋_GB2312" w:eastAsia="仿宋_GB2312" w:cs="仿宋_GB2312"/>
          <w:strike w:val="0"/>
          <w:dstrike w:val="0"/>
          <w:color w:val="auto"/>
          <w:szCs w:val="21"/>
          <w:highlight w:val="none"/>
        </w:rPr>
        <w:t>其响应作为</w:t>
      </w:r>
      <w:r>
        <w:rPr>
          <w:rFonts w:hint="eastAsia" w:ascii="仿宋_GB2312" w:hAnsi="仿宋_GB2312" w:eastAsia="仿宋_GB2312" w:cs="仿宋_GB2312"/>
          <w:b/>
          <w:bCs/>
          <w:strike w:val="0"/>
          <w:dstrike w:val="0"/>
          <w:color w:val="auto"/>
          <w:szCs w:val="21"/>
          <w:highlight w:val="none"/>
          <w:lang w:eastAsia="zh-CN"/>
        </w:rPr>
        <w:t>废标</w:t>
      </w:r>
      <w:r>
        <w:rPr>
          <w:rFonts w:hint="eastAsia" w:ascii="仿宋_GB2312" w:hAnsi="仿宋_GB2312" w:eastAsia="仿宋_GB2312" w:cs="仿宋_GB2312"/>
          <w:b/>
          <w:bCs/>
          <w:strike w:val="0"/>
          <w:dstrike w:val="0"/>
          <w:color w:val="auto"/>
          <w:szCs w:val="21"/>
          <w:highlight w:val="none"/>
        </w:rPr>
        <w:t>处理</w:t>
      </w:r>
      <w:r>
        <w:rPr>
          <w:rFonts w:hint="eastAsia" w:ascii="仿宋_GB2312" w:hAnsi="仿宋_GB2312" w:eastAsia="仿宋_GB2312" w:cs="仿宋_GB2312"/>
          <w:strike w:val="0"/>
          <w:dstrike w:val="0"/>
          <w:color w:val="auto"/>
          <w:szCs w:val="21"/>
          <w:highlight w:val="none"/>
        </w:rPr>
        <w:t>。</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的书面说明材料包含本身成本、人工费用、运输、税收等，以及</w:t>
      </w:r>
      <w:r>
        <w:rPr>
          <w:rFonts w:hint="eastAsia" w:ascii="仿宋_GB2312" w:hAnsi="仿宋_GB2312" w:eastAsia="仿宋_GB2312" w:cs="仿宋_GB2312"/>
          <w:strike w:val="0"/>
          <w:dstrike w:val="0"/>
          <w:color w:val="auto"/>
          <w:szCs w:val="21"/>
          <w:highlight w:val="none"/>
          <w:lang w:eastAsia="zh-CN"/>
        </w:rPr>
        <w:t>投标报价</w:t>
      </w:r>
      <w:r>
        <w:rPr>
          <w:rFonts w:hint="eastAsia" w:ascii="仿宋_GB2312" w:hAnsi="仿宋_GB2312" w:eastAsia="仿宋_GB2312" w:cs="仿宋_GB2312"/>
          <w:strike w:val="0"/>
          <w:dstrike w:val="0"/>
          <w:color w:val="auto"/>
          <w:szCs w:val="21"/>
          <w:highlight w:val="none"/>
        </w:rPr>
        <w:t>不会影响产品质量或诚信履约能力的说明等。</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提供书面说明后，</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应当结合</w:t>
      </w:r>
      <w:r>
        <w:rPr>
          <w:rFonts w:hint="eastAsia" w:ascii="仿宋_GB2312" w:hAnsi="仿宋_GB2312" w:eastAsia="仿宋_GB2312" w:cs="仿宋_GB2312"/>
          <w:strike w:val="0"/>
          <w:dstrike w:val="0"/>
          <w:color w:val="auto"/>
          <w:szCs w:val="21"/>
          <w:highlight w:val="none"/>
          <w:lang w:val="en-US" w:eastAsia="zh-CN"/>
        </w:rPr>
        <w:t>招标</w:t>
      </w:r>
      <w:r>
        <w:rPr>
          <w:rFonts w:hint="eastAsia" w:ascii="仿宋_GB2312" w:hAnsi="仿宋_GB2312" w:eastAsia="仿宋_GB2312" w:cs="仿宋_GB2312"/>
          <w:strike w:val="0"/>
          <w:dstrike w:val="0"/>
          <w:color w:val="auto"/>
          <w:szCs w:val="21"/>
          <w:highlight w:val="none"/>
        </w:rPr>
        <w:t>项目</w:t>
      </w:r>
      <w:r>
        <w:rPr>
          <w:rFonts w:hint="eastAsia" w:ascii="仿宋_GB2312" w:hAnsi="仿宋_GB2312" w:eastAsia="仿宋_GB2312" w:cs="仿宋_GB2312"/>
          <w:strike w:val="0"/>
          <w:dstrike w:val="0"/>
          <w:color w:val="auto"/>
          <w:szCs w:val="21"/>
          <w:highlight w:val="none"/>
          <w:lang w:val="en-US" w:eastAsia="zh-CN"/>
        </w:rPr>
        <w:t>招标人</w:t>
      </w:r>
      <w:r>
        <w:rPr>
          <w:rFonts w:hint="eastAsia" w:ascii="仿宋_GB2312" w:hAnsi="仿宋_GB2312" w:eastAsia="仿宋_GB2312" w:cs="仿宋_GB2312"/>
          <w:strike w:val="0"/>
          <w:dstrike w:val="0"/>
          <w:color w:val="auto"/>
          <w:szCs w:val="21"/>
          <w:highlight w:val="none"/>
        </w:rPr>
        <w:t>需求、专业实际情况、</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财务状况报告、与其他</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比较情况等</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的书面说明进行审查评价。</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如有下列情况的，</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应当将其</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作为</w:t>
      </w:r>
      <w:r>
        <w:rPr>
          <w:rFonts w:hint="eastAsia" w:ascii="仿宋_GB2312" w:hAnsi="仿宋_GB2312" w:eastAsia="仿宋_GB2312" w:cs="仿宋_GB2312"/>
          <w:b/>
          <w:bCs/>
          <w:strike w:val="0"/>
          <w:dstrike w:val="0"/>
          <w:color w:val="auto"/>
          <w:szCs w:val="21"/>
          <w:highlight w:val="none"/>
          <w:lang w:val="en-US" w:eastAsia="zh-CN"/>
        </w:rPr>
        <w:t>废标</w:t>
      </w:r>
      <w:r>
        <w:rPr>
          <w:rFonts w:hint="eastAsia" w:ascii="仿宋_GB2312" w:hAnsi="仿宋_GB2312" w:eastAsia="仿宋_GB2312" w:cs="仿宋_GB2312"/>
          <w:b/>
          <w:bCs/>
          <w:strike w:val="0"/>
          <w:dstrike w:val="0"/>
          <w:color w:val="auto"/>
          <w:szCs w:val="21"/>
          <w:highlight w:val="none"/>
        </w:rPr>
        <w:t>处理</w:t>
      </w:r>
      <w:r>
        <w:rPr>
          <w:rFonts w:hint="eastAsia" w:ascii="仿宋_GB2312" w:hAnsi="仿宋_GB2312" w:eastAsia="仿宋_GB2312" w:cs="仿宋_GB2312"/>
          <w:strike w:val="0"/>
          <w:dstrike w:val="0"/>
          <w:color w:val="auto"/>
          <w:szCs w:val="21"/>
          <w:highlight w:val="none"/>
        </w:rPr>
        <w:t>：</w:t>
      </w:r>
    </w:p>
    <w:p>
      <w:pPr>
        <w:numPr>
          <w:ilvl w:val="0"/>
          <w:numId w:val="6"/>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未在规定时间内递交有效书面说明书的。</w:t>
      </w:r>
    </w:p>
    <w:p>
      <w:pPr>
        <w:pStyle w:val="24"/>
        <w:rPr>
          <w:rFonts w:hint="eastAsia" w:ascii="仿宋" w:hAnsi="仿宋" w:eastAsia="仿宋" w:cs="仿宋"/>
          <w:b/>
          <w:bCs/>
          <w:strike w:val="0"/>
          <w:dstrike w:val="0"/>
          <w:color w:val="auto"/>
          <w:spacing w:val="0"/>
          <w:kern w:val="2"/>
          <w:sz w:val="21"/>
          <w:szCs w:val="21"/>
          <w:highlight w:val="none"/>
          <w:lang w:val="en-US" w:eastAsia="zh-CN" w:bidi="ar-SA"/>
        </w:rPr>
      </w:pPr>
      <w:r>
        <w:rPr>
          <w:rFonts w:hint="eastAsia" w:ascii="仿宋" w:hAnsi="仿宋" w:eastAsia="仿宋" w:cs="仿宋"/>
          <w:b/>
          <w:bCs/>
          <w:strike w:val="0"/>
          <w:dstrike w:val="0"/>
          <w:color w:val="auto"/>
          <w:spacing w:val="0"/>
          <w:kern w:val="2"/>
          <w:sz w:val="21"/>
          <w:szCs w:val="21"/>
          <w:highlight w:val="none"/>
          <w:lang w:val="en-US" w:eastAsia="zh-CN" w:bidi="ar-SA"/>
        </w:rPr>
        <w:t>4.4 分值构成与评分标准</w:t>
      </w:r>
    </w:p>
    <w:tbl>
      <w:tblPr>
        <w:tblStyle w:val="16"/>
        <w:tblpPr w:leftFromText="180" w:rightFromText="180" w:vertAnchor="text" w:horzAnchor="page" w:tblpX="1419" w:tblpY="25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131"/>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2042" w:type="dxa"/>
            <w:gridSpan w:val="2"/>
            <w:shd w:val="clear" w:color="auto" w:fill="FFFFFF"/>
            <w:noWrap w:val="0"/>
            <w:vAlign w:val="bottom"/>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b/>
                <w:bCs/>
                <w:color w:val="auto"/>
                <w:sz w:val="21"/>
                <w:szCs w:val="21"/>
                <w:highlight w:val="none"/>
                <w:lang w:val="en-US" w:eastAsia="zh-CN"/>
              </w:rPr>
            </w:pPr>
            <w:r>
              <w:rPr>
                <w:rStyle w:val="32"/>
                <w:rFonts w:hint="eastAsia" w:ascii="仿宋" w:hAnsi="仿宋" w:eastAsia="仿宋" w:cs="仿宋"/>
                <w:b/>
                <w:bCs/>
                <w:color w:val="auto"/>
                <w:sz w:val="21"/>
                <w:szCs w:val="21"/>
                <w:highlight w:val="none"/>
                <w:lang w:val="zh-CN" w:eastAsia="zh-CN"/>
              </w:rPr>
              <w:t>条款号</w:t>
            </w:r>
          </w:p>
        </w:tc>
        <w:tc>
          <w:tcPr>
            <w:tcW w:w="7172" w:type="dxa"/>
            <w:shd w:val="clear" w:color="auto" w:fill="FFFFFF"/>
            <w:noWrap w:val="0"/>
            <w:vAlign w:val="bottom"/>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b/>
                <w:bCs/>
                <w:color w:val="auto"/>
                <w:sz w:val="21"/>
                <w:szCs w:val="21"/>
                <w:highlight w:val="none"/>
                <w:lang w:val="en-US" w:eastAsia="zh-CN"/>
              </w:rPr>
            </w:pPr>
            <w:r>
              <w:rPr>
                <w:rStyle w:val="32"/>
                <w:rFonts w:hint="eastAsia" w:ascii="仿宋" w:hAnsi="仿宋" w:eastAsia="仿宋" w:cs="仿宋"/>
                <w:b/>
                <w:bCs/>
                <w:color w:val="auto"/>
                <w:sz w:val="21"/>
                <w:szCs w:val="21"/>
                <w:highlight w:val="none"/>
                <w:lang w:val="zh-CN" w:eastAsia="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exact"/>
        </w:trPr>
        <w:tc>
          <w:tcPr>
            <w:tcW w:w="91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en-US" w:eastAsia="zh-CN"/>
              </w:rPr>
              <w:t>4.4.</w:t>
            </w:r>
            <w:r>
              <w:rPr>
                <w:rStyle w:val="33"/>
                <w:rFonts w:hint="eastAsia" w:ascii="仿宋" w:hAnsi="仿宋" w:eastAsia="仿宋" w:cs="仿宋"/>
                <w:color w:val="auto"/>
                <w:sz w:val="21"/>
                <w:szCs w:val="21"/>
                <w:highlight w:val="none"/>
                <w:lang w:val="zh-CN" w:eastAsia="zh-CN"/>
              </w:rPr>
              <w:t>1</w:t>
            </w:r>
          </w:p>
        </w:tc>
        <w:tc>
          <w:tcPr>
            <w:tcW w:w="113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评</w:t>
            </w:r>
            <w:r>
              <w:rPr>
                <w:rStyle w:val="33"/>
                <w:rFonts w:hint="eastAsia" w:ascii="仿宋" w:hAnsi="仿宋" w:eastAsia="仿宋" w:cs="仿宋"/>
                <w:color w:val="auto"/>
                <w:sz w:val="21"/>
                <w:szCs w:val="21"/>
                <w:highlight w:val="none"/>
                <w:lang w:val="en-US" w:eastAsia="zh-CN"/>
              </w:rPr>
              <w:t>审</w:t>
            </w:r>
            <w:r>
              <w:rPr>
                <w:rStyle w:val="33"/>
                <w:rFonts w:hint="eastAsia" w:ascii="仿宋" w:hAnsi="仿宋" w:eastAsia="仿宋" w:cs="仿宋"/>
                <w:color w:val="auto"/>
                <w:sz w:val="21"/>
                <w:szCs w:val="21"/>
                <w:highlight w:val="none"/>
                <w:lang w:val="zh-CN" w:eastAsia="zh-CN"/>
              </w:rPr>
              <w:t>方法</w:t>
            </w:r>
          </w:p>
        </w:tc>
        <w:tc>
          <w:tcPr>
            <w:tcW w:w="7172"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right="42" w:rightChars="20" w:firstLine="420" w:firstLineChars="200"/>
              <w:jc w:val="both"/>
              <w:textAlignment w:val="auto"/>
              <w:rPr>
                <w:rStyle w:val="28"/>
                <w:rFonts w:hint="eastAsia" w:ascii="仿宋" w:hAnsi="仿宋" w:eastAsia="仿宋" w:cs="仿宋"/>
                <w:color w:val="auto"/>
                <w:sz w:val="21"/>
                <w:szCs w:val="21"/>
                <w:highlight w:val="none"/>
                <w:lang w:val="zh-CN" w:eastAsia="zh-CN"/>
              </w:rPr>
            </w:pPr>
            <w:r>
              <w:rPr>
                <w:rStyle w:val="28"/>
                <w:rFonts w:hint="eastAsia" w:ascii="仿宋" w:hAnsi="仿宋" w:eastAsia="仿宋" w:cs="仿宋"/>
                <w:color w:val="auto"/>
                <w:sz w:val="21"/>
                <w:szCs w:val="21"/>
                <w:highlight w:val="none"/>
                <w:lang w:val="zh-CN" w:eastAsia="zh-CN"/>
              </w:rPr>
              <w:t>综合评分相等时，评</w:t>
            </w:r>
            <w:r>
              <w:rPr>
                <w:rStyle w:val="28"/>
                <w:rFonts w:hint="eastAsia" w:ascii="仿宋" w:hAnsi="仿宋" w:eastAsia="仿宋" w:cs="仿宋"/>
                <w:color w:val="auto"/>
                <w:sz w:val="21"/>
                <w:szCs w:val="21"/>
                <w:highlight w:val="none"/>
                <w:lang w:val="en-US" w:eastAsia="zh-CN"/>
              </w:rPr>
              <w:t>审小组</w:t>
            </w:r>
            <w:r>
              <w:rPr>
                <w:rStyle w:val="28"/>
                <w:rFonts w:hint="eastAsia" w:ascii="仿宋" w:hAnsi="仿宋" w:eastAsia="仿宋" w:cs="仿宋"/>
                <w:color w:val="auto"/>
                <w:sz w:val="21"/>
                <w:szCs w:val="21"/>
                <w:highlight w:val="none"/>
                <w:lang w:val="zh-CN" w:eastAsia="zh-CN"/>
              </w:rPr>
              <w:t>依次按照以下优先顺序推荐中标候选人或确定中标人：</w:t>
            </w:r>
          </w:p>
          <w:p>
            <w:pPr>
              <w:pStyle w:val="31"/>
              <w:keepNext w:val="0"/>
              <w:keepLines w:val="0"/>
              <w:pageBreakBefore w:val="0"/>
              <w:widowControl w:val="0"/>
              <w:shd w:val="clear" w:color="auto" w:fill="auto"/>
              <w:tabs>
                <w:tab w:val="left" w:pos="1050"/>
              </w:tabs>
              <w:kinsoku/>
              <w:wordWrap/>
              <w:overflowPunct/>
              <w:topLinePunct w:val="0"/>
              <w:autoSpaceDE/>
              <w:autoSpaceDN/>
              <w:bidi w:val="0"/>
              <w:adjustRightInd/>
              <w:spacing w:before="0" w:line="240" w:lineRule="auto"/>
              <w:ind w:left="42" w:leftChars="20" w:right="42" w:rightChars="20"/>
              <w:jc w:val="both"/>
              <w:textAlignment w:val="auto"/>
              <w:rPr>
                <w:rStyle w:val="28"/>
                <w:rFonts w:hint="eastAsia" w:ascii="仿宋" w:hAnsi="仿宋" w:eastAsia="仿宋" w:cs="仿宋"/>
                <w:color w:val="auto"/>
                <w:sz w:val="21"/>
                <w:szCs w:val="21"/>
                <w:highlight w:val="none"/>
                <w:lang w:val="zh-CN" w:eastAsia="zh-CN"/>
              </w:rPr>
            </w:pPr>
            <w:r>
              <w:rPr>
                <w:rStyle w:val="28"/>
                <w:rFonts w:hint="eastAsia" w:ascii="仿宋" w:hAnsi="仿宋" w:eastAsia="仿宋" w:cs="仿宋"/>
                <w:color w:val="auto"/>
                <w:sz w:val="21"/>
                <w:szCs w:val="21"/>
                <w:highlight w:val="none"/>
                <w:lang w:val="zh-CN" w:eastAsia="zh-CN"/>
              </w:rPr>
              <w:t>（1）评标价低的优先；</w:t>
            </w:r>
          </w:p>
          <w:p>
            <w:pPr>
              <w:pStyle w:val="31"/>
              <w:keepNext w:val="0"/>
              <w:keepLines w:val="0"/>
              <w:pageBreakBefore w:val="0"/>
              <w:widowControl w:val="0"/>
              <w:shd w:val="clear" w:color="auto" w:fill="auto"/>
              <w:tabs>
                <w:tab w:val="left" w:pos="1050"/>
              </w:tabs>
              <w:kinsoku/>
              <w:wordWrap/>
              <w:overflowPunct/>
              <w:topLinePunct w:val="0"/>
              <w:autoSpaceDE/>
              <w:autoSpaceDN/>
              <w:bidi w:val="0"/>
              <w:adjustRightInd/>
              <w:spacing w:before="0" w:line="240" w:lineRule="auto"/>
              <w:ind w:left="42" w:leftChars="20" w:right="42" w:rightChars="20"/>
              <w:jc w:val="both"/>
              <w:textAlignment w:val="auto"/>
              <w:rPr>
                <w:rStyle w:val="28"/>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lang w:val="zh-CN" w:eastAsia="zh-CN"/>
              </w:rPr>
              <w:t>（2）</w:t>
            </w:r>
            <w:r>
              <w:rPr>
                <w:rStyle w:val="28"/>
                <w:rFonts w:hint="eastAsia" w:ascii="仿宋" w:hAnsi="仿宋" w:eastAsia="仿宋" w:cs="仿宋"/>
                <w:color w:val="auto"/>
                <w:sz w:val="21"/>
                <w:szCs w:val="21"/>
                <w:highlight w:val="none"/>
              </w:rPr>
              <w:t>以投标人企业最新年度净资产较高的优先；</w:t>
            </w:r>
          </w:p>
          <w:p>
            <w:pPr>
              <w:pStyle w:val="31"/>
              <w:keepNext w:val="0"/>
              <w:keepLines w:val="0"/>
              <w:pageBreakBefore w:val="0"/>
              <w:widowControl w:val="0"/>
              <w:shd w:val="clear" w:color="auto" w:fill="auto"/>
              <w:tabs>
                <w:tab w:val="left" w:pos="1087"/>
              </w:tabs>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28"/>
                <w:rFonts w:hint="eastAsia" w:ascii="仿宋" w:hAnsi="仿宋" w:eastAsia="仿宋" w:cs="仿宋"/>
                <w:color w:val="auto"/>
                <w:sz w:val="21"/>
                <w:szCs w:val="21"/>
                <w:highlight w:val="none"/>
                <w:lang w:val="zh-CN" w:eastAsia="zh-CN"/>
              </w:rPr>
              <w:t>（</w:t>
            </w:r>
            <w:r>
              <w:rPr>
                <w:rStyle w:val="28"/>
                <w:rFonts w:hint="eastAsia" w:ascii="仿宋" w:hAnsi="仿宋" w:eastAsia="仿宋" w:cs="仿宋"/>
                <w:color w:val="auto"/>
                <w:sz w:val="21"/>
                <w:szCs w:val="21"/>
                <w:highlight w:val="none"/>
                <w:lang w:val="en-US" w:eastAsia="zh-CN"/>
              </w:rPr>
              <w:t>3</w:t>
            </w:r>
            <w:r>
              <w:rPr>
                <w:rStyle w:val="28"/>
                <w:rFonts w:hint="eastAsia" w:ascii="仿宋" w:hAnsi="仿宋" w:eastAsia="仿宋" w:cs="仿宋"/>
                <w:color w:val="auto"/>
                <w:sz w:val="21"/>
                <w:szCs w:val="21"/>
                <w:highlight w:val="none"/>
                <w:lang w:val="zh-CN" w:eastAsia="zh-CN"/>
              </w:rPr>
              <w:t>）评</w:t>
            </w:r>
            <w:r>
              <w:rPr>
                <w:rStyle w:val="28"/>
                <w:rFonts w:hint="eastAsia" w:ascii="仿宋" w:hAnsi="仿宋" w:eastAsia="仿宋" w:cs="仿宋"/>
                <w:color w:val="auto"/>
                <w:sz w:val="21"/>
                <w:szCs w:val="21"/>
                <w:highlight w:val="none"/>
                <w:lang w:val="en-US" w:eastAsia="zh-CN"/>
              </w:rPr>
              <w:t>审小组</w:t>
            </w:r>
            <w:r>
              <w:rPr>
                <w:rStyle w:val="28"/>
                <w:rFonts w:hint="eastAsia" w:ascii="仿宋" w:hAnsi="仿宋" w:eastAsia="仿宋" w:cs="仿宋"/>
                <w:color w:val="auto"/>
                <w:sz w:val="21"/>
                <w:szCs w:val="21"/>
                <w:highlight w:val="none"/>
                <w:lang w:val="zh-CN" w:eastAsia="zh-CN"/>
              </w:rPr>
              <w:t>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9" w:hRule="exact"/>
        </w:trPr>
        <w:tc>
          <w:tcPr>
            <w:tcW w:w="91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en-US" w:eastAsia="zh-CN"/>
              </w:rPr>
              <w:t>4.4.2</w:t>
            </w:r>
          </w:p>
        </w:tc>
        <w:tc>
          <w:tcPr>
            <w:tcW w:w="113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分值构成 (总分</w:t>
            </w:r>
            <w:r>
              <w:rPr>
                <w:rStyle w:val="34"/>
                <w:rFonts w:hint="eastAsia" w:ascii="仿宋" w:hAnsi="仿宋" w:eastAsia="仿宋" w:cs="仿宋"/>
                <w:b w:val="0"/>
                <w:color w:val="auto"/>
                <w:sz w:val="21"/>
                <w:szCs w:val="21"/>
                <w:highlight w:val="none"/>
                <w:lang w:val="zh-CN" w:eastAsia="zh-CN"/>
              </w:rPr>
              <w:t>100</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分）</w:t>
            </w:r>
          </w:p>
        </w:tc>
        <w:tc>
          <w:tcPr>
            <w:tcW w:w="7172"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zh-CN" w:eastAsia="zh-CN"/>
              </w:rPr>
              <w:t>商务及技术文件评分分值构成：</w:t>
            </w:r>
          </w:p>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eastAsia="zh-CN"/>
              </w:rPr>
              <w:t>实施方案</w:t>
            </w:r>
            <w:r>
              <w:rPr>
                <w:rFonts w:hint="eastAsia" w:ascii="仿宋" w:hAnsi="仿宋" w:eastAsia="仿宋" w:cs="仿宋"/>
                <w:color w:val="auto"/>
                <w:kern w:val="2"/>
                <w:sz w:val="21"/>
                <w:szCs w:val="21"/>
                <w:highlight w:val="none"/>
                <w:lang w:val="en-US"/>
              </w:rPr>
              <w:t>（A）：</w:t>
            </w:r>
            <w:r>
              <w:rPr>
                <w:rFonts w:hint="eastAsia" w:ascii="仿宋" w:hAnsi="仿宋" w:eastAsia="仿宋" w:cs="仿宋"/>
                <w:color w:val="auto"/>
                <w:kern w:val="2"/>
                <w:sz w:val="21"/>
                <w:szCs w:val="21"/>
                <w:highlight w:val="none"/>
                <w:u w:val="single"/>
                <w:lang w:val="en-US" w:eastAsia="zh-CN"/>
              </w:rPr>
              <w:t xml:space="preserve"> 70 </w:t>
            </w:r>
            <w:r>
              <w:rPr>
                <w:rFonts w:hint="eastAsia" w:ascii="仿宋" w:hAnsi="仿宋" w:eastAsia="仿宋" w:cs="仿宋"/>
                <w:color w:val="auto"/>
                <w:kern w:val="2"/>
                <w:sz w:val="21"/>
                <w:szCs w:val="21"/>
                <w:highlight w:val="none"/>
                <w:lang w:val="en-US"/>
              </w:rPr>
              <w:t>分</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zh-CN" w:eastAsia="zh-CN"/>
              </w:rPr>
              <w:t>报价评分分值构成：</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评标价</w:t>
            </w: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lang w:val="en-US" w:eastAsia="zh-CN"/>
              </w:rPr>
              <w:t>B</w:t>
            </w: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30 </w:t>
            </w:r>
            <w:r>
              <w:rPr>
                <w:rFonts w:hint="eastAsia" w:ascii="仿宋" w:hAnsi="仿宋" w:eastAsia="仿宋" w:cs="仿宋"/>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0" w:hRule="exact"/>
        </w:trPr>
        <w:tc>
          <w:tcPr>
            <w:tcW w:w="91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pacing w:val="20"/>
                <w:sz w:val="21"/>
                <w:szCs w:val="21"/>
                <w:highlight w:val="none"/>
                <w:lang w:val="en-US" w:eastAsia="zh-CN" w:bidi="ar-SA"/>
              </w:rPr>
            </w:pPr>
            <w:r>
              <w:rPr>
                <w:rFonts w:hint="eastAsia" w:ascii="仿宋" w:hAnsi="仿宋" w:eastAsia="仿宋" w:cs="仿宋"/>
                <w:color w:val="auto"/>
                <w:sz w:val="21"/>
                <w:szCs w:val="21"/>
                <w:highlight w:val="none"/>
                <w:lang w:val="en-US" w:eastAsia="zh-CN"/>
              </w:rPr>
              <w:t>4.4.3</w:t>
            </w:r>
          </w:p>
        </w:tc>
        <w:tc>
          <w:tcPr>
            <w:tcW w:w="11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pacing w:val="20"/>
                <w:sz w:val="21"/>
                <w:szCs w:val="21"/>
                <w:highlight w:val="none"/>
                <w:lang w:val="en-US" w:eastAsia="zh-CN" w:bidi="ar-SA"/>
              </w:rPr>
            </w:pPr>
            <w:r>
              <w:rPr>
                <w:rFonts w:hint="eastAsia" w:ascii="仿宋" w:hAnsi="仿宋" w:eastAsia="仿宋" w:cs="仿宋"/>
                <w:color w:val="auto"/>
                <w:sz w:val="21"/>
                <w:szCs w:val="21"/>
                <w:highlight w:val="none"/>
              </w:rPr>
              <w:t>评标基准价计算方法</w:t>
            </w:r>
          </w:p>
        </w:tc>
        <w:tc>
          <w:tcPr>
            <w:tcW w:w="717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评标基准价的计算：</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42" w:leftChars="20" w:right="42" w:rightChars="20"/>
              <w:jc w:val="left"/>
              <w:textAlignment w:val="auto"/>
              <w:rPr>
                <w:rFonts w:hint="eastAsia" w:ascii="仿宋" w:hAnsi="仿宋" w:eastAsia="仿宋" w:cs="仿宋"/>
                <w:color w:val="auto"/>
                <w:sz w:val="21"/>
                <w:szCs w:val="21"/>
                <w:highlight w:val="none"/>
                <w:lang w:val="zh-CN" w:eastAsia="zh-CN"/>
              </w:rPr>
            </w:pPr>
            <w:r>
              <w:rPr>
                <w:rStyle w:val="33"/>
                <w:rFonts w:hint="eastAsia" w:ascii="仿宋" w:hAnsi="仿宋" w:eastAsia="仿宋" w:cs="仿宋"/>
                <w:color w:val="auto"/>
                <w:sz w:val="21"/>
                <w:szCs w:val="21"/>
                <w:highlight w:val="none"/>
                <w:lang w:val="zh-CN" w:eastAsia="zh-CN"/>
              </w:rPr>
              <w:t>在开标现场，招标人将当场计算并宣布评标基准价。</w:t>
            </w:r>
          </w:p>
          <w:p>
            <w:pPr>
              <w:pStyle w:val="31"/>
              <w:keepNext w:val="0"/>
              <w:keepLines w:val="0"/>
              <w:pageBreakBefore w:val="0"/>
              <w:widowControl w:val="0"/>
              <w:numPr>
                <w:ilvl w:val="0"/>
                <w:numId w:val="0"/>
              </w:numPr>
              <w:shd w:val="clear" w:color="auto" w:fill="auto"/>
              <w:tabs>
                <w:tab w:val="left" w:pos="413"/>
              </w:tabs>
              <w:kinsoku/>
              <w:wordWrap/>
              <w:overflowPunct/>
              <w:topLinePunct w:val="0"/>
              <w:autoSpaceDE/>
              <w:autoSpaceDN/>
              <w:bidi w:val="0"/>
              <w:adjustRightInd/>
              <w:snapToGrid/>
              <w:spacing w:before="0" w:line="300" w:lineRule="exact"/>
              <w:ind w:right="42" w:rightChars="20"/>
              <w:jc w:val="both"/>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lang w:val="en-US"/>
              </w:rPr>
              <w:t>)</w:t>
            </w:r>
            <w:r>
              <w:rPr>
                <w:rStyle w:val="33"/>
                <w:rFonts w:hint="eastAsia" w:ascii="仿宋" w:hAnsi="仿宋" w:eastAsia="仿宋" w:cs="仿宋"/>
                <w:color w:val="auto"/>
                <w:sz w:val="21"/>
                <w:szCs w:val="21"/>
                <w:highlight w:val="none"/>
                <w:lang w:val="zh-CN" w:eastAsia="zh-CN"/>
              </w:rPr>
              <w:t>评标价的确定：</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42" w:leftChars="20" w:right="42" w:rightChars="20"/>
              <w:jc w:val="left"/>
              <w:textAlignment w:val="auto"/>
              <w:rPr>
                <w:rStyle w:val="33"/>
                <w:rFonts w:hint="eastAsia" w:ascii="仿宋" w:hAnsi="仿宋" w:eastAsia="仿宋" w:cs="仿宋"/>
                <w:color w:val="auto"/>
                <w:sz w:val="21"/>
                <w:szCs w:val="21"/>
                <w:highlight w:val="none"/>
              </w:rPr>
            </w:pPr>
            <w:r>
              <w:rPr>
                <w:rStyle w:val="33"/>
                <w:rFonts w:hint="eastAsia" w:ascii="仿宋" w:hAnsi="仿宋" w:eastAsia="仿宋" w:cs="仿宋"/>
                <w:color w:val="auto"/>
                <w:sz w:val="21"/>
                <w:szCs w:val="21"/>
                <w:highlight w:val="none"/>
                <w:lang w:val="zh-CN" w:eastAsia="zh-CN"/>
              </w:rPr>
              <w:t>评标价=投标函文字报价</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(2)</w:t>
            </w:r>
            <w:r>
              <w:rPr>
                <w:rFonts w:hint="eastAsia" w:ascii="仿宋" w:hAnsi="仿宋" w:eastAsia="仿宋" w:cs="仿宋"/>
                <w:snapToGrid w:val="0"/>
                <w:color w:val="auto"/>
                <w:kern w:val="2"/>
                <w:sz w:val="21"/>
                <w:szCs w:val="21"/>
                <w:highlight w:val="none"/>
                <w:lang w:val="en-US"/>
              </w:rPr>
              <w:t xml:space="preserve"> 最高评标限价的确定</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最高评标限价＝</w:t>
            </w:r>
            <w:r>
              <w:rPr>
                <w:rFonts w:hint="eastAsia" w:ascii="仿宋" w:hAnsi="仿宋" w:eastAsia="仿宋" w:cs="仿宋"/>
                <w:snapToGrid w:val="0"/>
                <w:color w:val="auto"/>
                <w:kern w:val="2"/>
                <w:sz w:val="21"/>
                <w:szCs w:val="21"/>
                <w:highlight w:val="none"/>
                <w:lang w:val="en-US" w:eastAsia="zh-CN"/>
              </w:rPr>
              <w:t>该标段</w:t>
            </w:r>
            <w:r>
              <w:rPr>
                <w:rFonts w:hint="eastAsia" w:ascii="仿宋" w:hAnsi="仿宋" w:eastAsia="仿宋" w:cs="仿宋"/>
                <w:snapToGrid w:val="0"/>
                <w:color w:val="auto"/>
                <w:kern w:val="2"/>
                <w:sz w:val="21"/>
                <w:szCs w:val="21"/>
                <w:highlight w:val="none"/>
                <w:lang w:val="en-US"/>
              </w:rPr>
              <w:t>最高限价</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 w:hAnsi="仿宋" w:eastAsia="仿宋" w:cs="仿宋"/>
                <w:snapToGrid w:val="0"/>
                <w:color w:val="auto"/>
                <w:kern w:val="2"/>
                <w:sz w:val="21"/>
                <w:szCs w:val="21"/>
                <w:highlight w:val="none"/>
                <w:lang w:val="en-US"/>
              </w:rPr>
              <w:t>最高限价</w:t>
            </w:r>
            <w:r>
              <w:rPr>
                <w:rFonts w:hint="eastAsia" w:ascii="仿宋" w:hAnsi="仿宋" w:eastAsia="仿宋" w:cs="仿宋"/>
                <w:snapToGrid w:val="0"/>
                <w:color w:val="auto"/>
                <w:kern w:val="2"/>
                <w:sz w:val="21"/>
                <w:szCs w:val="21"/>
                <w:highlight w:val="none"/>
                <w:lang w:val="en-US" w:eastAsia="zh-CN"/>
              </w:rPr>
              <w:t>：见招标公告</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color w:val="auto"/>
                <w:kern w:val="2"/>
                <w:sz w:val="21"/>
                <w:szCs w:val="21"/>
                <w:highlight w:val="none"/>
                <w:lang w:val="en-US"/>
              </w:rPr>
              <w:t>(3)</w:t>
            </w:r>
            <w:r>
              <w:rPr>
                <w:rFonts w:hint="eastAsia" w:ascii="仿宋" w:hAnsi="仿宋" w:eastAsia="仿宋" w:cs="仿宋"/>
                <w:snapToGrid w:val="0"/>
                <w:color w:val="auto"/>
                <w:kern w:val="2"/>
                <w:sz w:val="21"/>
                <w:szCs w:val="21"/>
                <w:highlight w:val="none"/>
                <w:lang w:val="en-US"/>
              </w:rPr>
              <w:t xml:space="preserve"> </w:t>
            </w:r>
            <w:r>
              <w:rPr>
                <w:rFonts w:hint="eastAsia" w:ascii="仿宋" w:hAnsi="仿宋" w:eastAsia="仿宋" w:cs="仿宋"/>
                <w:color w:val="auto"/>
                <w:kern w:val="2"/>
                <w:sz w:val="21"/>
                <w:szCs w:val="21"/>
                <w:highlight w:val="none"/>
                <w:lang w:val="en-US"/>
              </w:rPr>
              <w:t>有效评标价范围：</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有效评标价范围：</w:t>
            </w:r>
            <w:r>
              <w:rPr>
                <w:rFonts w:hint="eastAsia" w:ascii="仿宋" w:hAnsi="仿宋" w:eastAsia="仿宋" w:cs="仿宋"/>
                <w:color w:val="auto"/>
                <w:kern w:val="2"/>
                <w:sz w:val="21"/>
                <w:szCs w:val="21"/>
                <w:highlight w:val="none"/>
                <w:lang w:val="en-US"/>
              </w:rPr>
              <w:t>不大于最高评标限价的评标价为</w:t>
            </w:r>
            <w:r>
              <w:rPr>
                <w:rFonts w:hint="eastAsia" w:ascii="仿宋" w:hAnsi="仿宋" w:eastAsia="仿宋" w:cs="仿宋"/>
                <w:snapToGrid w:val="0"/>
                <w:color w:val="auto"/>
                <w:kern w:val="2"/>
                <w:sz w:val="21"/>
                <w:szCs w:val="21"/>
                <w:highlight w:val="none"/>
                <w:lang w:val="en-US"/>
              </w:rPr>
              <w:t>有效评标价</w:t>
            </w:r>
            <w:r>
              <w:rPr>
                <w:rFonts w:hint="eastAsia" w:ascii="仿宋" w:hAnsi="仿宋" w:eastAsia="仿宋" w:cs="仿宋"/>
                <w:color w:val="auto"/>
                <w:kern w:val="2"/>
                <w:sz w:val="21"/>
                <w:szCs w:val="21"/>
                <w:highlight w:val="none"/>
                <w:lang w:val="en-US"/>
              </w:rPr>
              <w:t>。若大于最高评标限价的评标价，</w:t>
            </w:r>
            <w:r>
              <w:rPr>
                <w:rFonts w:hint="eastAsia" w:ascii="仿宋" w:hAnsi="仿宋" w:eastAsia="仿宋" w:cs="仿宋"/>
                <w:color w:val="auto"/>
                <w:kern w:val="2"/>
                <w:sz w:val="21"/>
                <w:szCs w:val="21"/>
                <w:highlight w:val="none"/>
                <w:lang w:val="en-US" w:eastAsia="zh-CN"/>
              </w:rPr>
              <w:t>将否决其投标</w:t>
            </w:r>
            <w:r>
              <w:rPr>
                <w:rFonts w:hint="eastAsia" w:ascii="仿宋" w:hAnsi="仿宋" w:eastAsia="仿宋" w:cs="仿宋"/>
                <w:color w:val="auto"/>
                <w:kern w:val="2"/>
                <w:sz w:val="21"/>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lang w:val="en-US"/>
              </w:rPr>
              <w:t>)评标基准价的计算：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参与评标基准价计算的评标价范围：参与评标基准价计算的评标价</w:t>
            </w:r>
            <w:r>
              <w:rPr>
                <w:rFonts w:hint="eastAsia" w:ascii="仿宋" w:hAnsi="仿宋" w:eastAsia="仿宋" w:cs="仿宋"/>
                <w:color w:val="auto"/>
                <w:kern w:val="2"/>
                <w:sz w:val="21"/>
                <w:szCs w:val="21"/>
                <w:highlight w:val="none"/>
                <w:lang w:val="en-US"/>
              </w:rPr>
              <w:t>≤最高评标限价的100%。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b/>
                <w:bCs/>
                <w:snapToGrid w:val="0"/>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参与评标基准价的评标价平均值计算：</w:t>
            </w:r>
            <w:r>
              <w:rPr>
                <w:rStyle w:val="33"/>
                <w:rFonts w:hint="eastAsia" w:ascii="仿宋" w:hAnsi="仿宋" w:eastAsia="仿宋" w:cs="仿宋"/>
                <w:color w:val="auto"/>
                <w:sz w:val="21"/>
                <w:szCs w:val="21"/>
                <w:highlight w:val="none"/>
              </w:rPr>
              <w:t>除按第二章“投标人须知”第</w:t>
            </w:r>
            <w:r>
              <w:rPr>
                <w:rStyle w:val="33"/>
                <w:rFonts w:hint="eastAsia" w:ascii="仿宋" w:hAnsi="仿宋" w:eastAsia="仿宋" w:cs="仿宋"/>
                <w:color w:val="auto"/>
                <w:sz w:val="21"/>
                <w:szCs w:val="21"/>
                <w:highlight w:val="none"/>
                <w:lang w:val="en-US" w:eastAsia="zh-CN"/>
              </w:rPr>
              <w:t>20.5款</w:t>
            </w:r>
            <w:r>
              <w:rPr>
                <w:rStyle w:val="33"/>
                <w:rFonts w:hint="eastAsia" w:ascii="仿宋" w:hAnsi="仿宋" w:eastAsia="仿宋" w:cs="仿宋"/>
                <w:color w:val="auto"/>
                <w:sz w:val="21"/>
                <w:szCs w:val="21"/>
                <w:highlight w:val="none"/>
              </w:rPr>
              <w:t>项规定</w:t>
            </w:r>
            <w:r>
              <w:rPr>
                <w:rStyle w:val="33"/>
                <w:rFonts w:hint="eastAsia" w:ascii="仿宋" w:hAnsi="仿宋" w:eastAsia="仿宋" w:cs="仿宋"/>
                <w:color w:val="auto"/>
                <w:sz w:val="21"/>
                <w:szCs w:val="21"/>
                <w:highlight w:val="none"/>
                <w:lang w:val="en-US" w:eastAsia="zh-CN"/>
              </w:rPr>
              <w:t>投标文件开启</w:t>
            </w:r>
            <w:r>
              <w:rPr>
                <w:rStyle w:val="33"/>
                <w:rFonts w:hint="eastAsia" w:ascii="仿宋" w:hAnsi="仿宋" w:eastAsia="仿宋" w:cs="仿宋"/>
                <w:color w:val="auto"/>
                <w:sz w:val="21"/>
                <w:szCs w:val="21"/>
                <w:highlight w:val="none"/>
              </w:rPr>
              <w:t>现场被宣布为不进入评标基准价计算的投标报价之外</w:t>
            </w:r>
            <w:r>
              <w:rPr>
                <w:rFonts w:hint="eastAsia" w:ascii="仿宋" w:hAnsi="仿宋" w:eastAsia="仿宋" w:cs="仿宋"/>
                <w:color w:val="auto"/>
                <w:kern w:val="2"/>
                <w:sz w:val="21"/>
                <w:szCs w:val="21"/>
                <w:highlight w:val="none"/>
                <w:lang w:val="en-US"/>
              </w:rPr>
              <w:t>，在上述确定的</w:t>
            </w:r>
            <w:r>
              <w:rPr>
                <w:rFonts w:hint="eastAsia" w:ascii="仿宋" w:hAnsi="仿宋" w:eastAsia="仿宋" w:cs="仿宋"/>
                <w:snapToGrid w:val="0"/>
                <w:color w:val="auto"/>
                <w:kern w:val="2"/>
                <w:sz w:val="21"/>
                <w:szCs w:val="21"/>
                <w:highlight w:val="none"/>
                <w:lang w:val="en-US"/>
              </w:rPr>
              <w:t>参与评标基准价计算</w:t>
            </w:r>
            <w:r>
              <w:rPr>
                <w:rFonts w:hint="eastAsia" w:ascii="仿宋" w:hAnsi="仿宋" w:eastAsia="仿宋" w:cs="仿宋"/>
                <w:snapToGrid w:val="0"/>
                <w:color w:val="auto"/>
                <w:kern w:val="2"/>
                <w:sz w:val="21"/>
                <w:szCs w:val="21"/>
                <w:highlight w:val="none"/>
                <w:lang w:val="en-US" w:eastAsia="zh-CN"/>
              </w:rPr>
              <w:t>范围内</w:t>
            </w:r>
            <w:r>
              <w:rPr>
                <w:rFonts w:hint="eastAsia" w:ascii="仿宋" w:hAnsi="仿宋" w:eastAsia="仿宋" w:cs="仿宋"/>
                <w:snapToGrid w:val="0"/>
                <w:color w:val="auto"/>
                <w:kern w:val="2"/>
                <w:sz w:val="21"/>
                <w:szCs w:val="21"/>
                <w:highlight w:val="none"/>
                <w:lang w:val="en-US"/>
              </w:rPr>
              <w:t>的评标价</w:t>
            </w:r>
            <w:r>
              <w:rPr>
                <w:rFonts w:hint="eastAsia" w:ascii="仿宋" w:hAnsi="仿宋" w:eastAsia="仿宋" w:cs="仿宋"/>
                <w:color w:val="auto"/>
                <w:kern w:val="2"/>
                <w:sz w:val="21"/>
                <w:szCs w:val="21"/>
                <w:highlight w:val="none"/>
                <w:lang w:val="en-US"/>
              </w:rPr>
              <w:t>的算术平均值即为</w:t>
            </w:r>
            <w:r>
              <w:rPr>
                <w:rFonts w:hint="eastAsia" w:ascii="仿宋" w:hAnsi="仿宋" w:eastAsia="仿宋" w:cs="仿宋"/>
                <w:snapToGrid w:val="0"/>
                <w:color w:val="auto"/>
                <w:kern w:val="2"/>
                <w:sz w:val="21"/>
                <w:szCs w:val="21"/>
                <w:highlight w:val="none"/>
                <w:lang w:val="en-US"/>
              </w:rPr>
              <w:t>参与评标基准价计算的有效</w:t>
            </w:r>
            <w:r>
              <w:rPr>
                <w:rFonts w:hint="eastAsia" w:ascii="仿宋" w:hAnsi="仿宋" w:eastAsia="仿宋" w:cs="仿宋"/>
                <w:color w:val="auto"/>
                <w:kern w:val="2"/>
                <w:sz w:val="21"/>
                <w:szCs w:val="21"/>
                <w:highlight w:val="none"/>
                <w:lang w:val="en-US"/>
              </w:rPr>
              <w:t>评标价平均值</w:t>
            </w:r>
            <w:r>
              <w:rPr>
                <w:rFonts w:hint="eastAsia" w:ascii="仿宋" w:hAnsi="仿宋" w:eastAsia="仿宋" w:cs="仿宋"/>
                <w:color w:val="auto"/>
                <w:kern w:val="2"/>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2" w:firstLineChars="200"/>
              <w:jc w:val="both"/>
              <w:textAlignment w:val="auto"/>
              <w:rPr>
                <w:rFonts w:hint="eastAsia" w:ascii="仿宋" w:hAnsi="仿宋" w:eastAsia="仿宋" w:cs="仿宋"/>
                <w:b/>
                <w:bCs/>
                <w:snapToGrid w:val="0"/>
                <w:color w:val="auto"/>
                <w:kern w:val="2"/>
                <w:sz w:val="21"/>
                <w:szCs w:val="21"/>
                <w:highlight w:val="none"/>
                <w:lang w:val="en-US"/>
              </w:rPr>
            </w:pPr>
            <w:r>
              <w:rPr>
                <w:rFonts w:hint="eastAsia" w:ascii="仿宋" w:hAnsi="仿宋" w:eastAsia="仿宋" w:cs="仿宋"/>
                <w:b/>
                <w:bCs/>
                <w:snapToGrid w:val="0"/>
                <w:color w:val="auto"/>
                <w:kern w:val="2"/>
                <w:sz w:val="21"/>
                <w:szCs w:val="21"/>
                <w:highlight w:val="none"/>
                <w:lang w:val="en-US"/>
              </w:rPr>
              <w:t>即使某投标文件未通过形式评审与响应性评审，如其报价处于参与评标基准价计算的评标价的有效范围内，其评标价仍应参与有效评标价平均值的计算。</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(5)评标基准价的确定：</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_GB2312" w:hAnsi="仿宋_GB2312" w:eastAsia="仿宋_GB2312" w:cs="仿宋_GB2312"/>
                <w:snapToGrid w:val="0"/>
                <w:color w:val="auto"/>
                <w:kern w:val="2"/>
                <w:sz w:val="21"/>
                <w:szCs w:val="21"/>
                <w:highlight w:val="none"/>
                <w:lang w:val="en-US" w:eastAsia="zh-CN"/>
              </w:rPr>
              <w:t>评标基准价=</w:t>
            </w:r>
            <w:r>
              <w:rPr>
                <w:rFonts w:hint="eastAsia" w:ascii="仿宋_GB2312" w:hAnsi="仿宋_GB2312" w:eastAsia="仿宋_GB2312" w:cs="仿宋_GB2312"/>
                <w:snapToGrid w:val="0"/>
                <w:color w:val="auto"/>
                <w:kern w:val="2"/>
                <w:sz w:val="21"/>
                <w:szCs w:val="21"/>
                <w:highlight w:val="none"/>
                <w:lang w:val="en-US"/>
              </w:rPr>
              <w:t>参与评标基准价计算的有效评标价的平均值</w:t>
            </w:r>
            <w:r>
              <w:rPr>
                <w:rFonts w:hint="eastAsia" w:ascii="仿宋" w:hAnsi="仿宋" w:eastAsia="仿宋" w:cs="仿宋"/>
                <w:snapToGrid w:val="0"/>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315" w:firstLineChars="15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 w:hAnsi="仿宋" w:eastAsia="仿宋" w:cs="仿宋"/>
                <w:snapToGrid w:val="0"/>
                <w:color w:val="auto"/>
                <w:kern w:val="2"/>
                <w:sz w:val="21"/>
                <w:szCs w:val="21"/>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color w:val="auto"/>
                <w:kern w:val="2"/>
                <w:sz w:val="21"/>
                <w:szCs w:val="21"/>
                <w:highlight w:val="none"/>
              </w:rPr>
              <w:t>备注：</w:t>
            </w:r>
            <w:r>
              <w:rPr>
                <w:rFonts w:hint="eastAsia" w:ascii="仿宋" w:hAnsi="仿宋" w:eastAsia="仿宋" w:cs="仿宋"/>
                <w:color w:val="auto"/>
                <w:kern w:val="2"/>
                <w:sz w:val="21"/>
                <w:szCs w:val="21"/>
                <w:highlight w:val="none"/>
                <w:lang w:val="en-US"/>
              </w:rPr>
              <w:t>最高评标限价、</w:t>
            </w:r>
            <w:r>
              <w:rPr>
                <w:rFonts w:hint="eastAsia" w:ascii="仿宋" w:hAnsi="仿宋" w:eastAsia="仿宋" w:cs="仿宋"/>
                <w:color w:val="auto"/>
                <w:kern w:val="2"/>
                <w:sz w:val="21"/>
                <w:szCs w:val="21"/>
                <w:highlight w:val="none"/>
              </w:rPr>
              <w:t>评标基准价四舍五入至个位整数。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trPr>
        <w:tc>
          <w:tcPr>
            <w:tcW w:w="91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4.4.4</w:t>
            </w:r>
          </w:p>
        </w:tc>
        <w:tc>
          <w:tcPr>
            <w:tcW w:w="11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42" w:leftChars="20" w:right="42" w:rightChars="20"/>
              <w:jc w:val="center"/>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sz w:val="21"/>
                <w:szCs w:val="21"/>
                <w:highlight w:val="none"/>
              </w:rPr>
              <w:t>评标价的偏差率计算公式</w:t>
            </w:r>
          </w:p>
        </w:tc>
        <w:tc>
          <w:tcPr>
            <w:tcW w:w="717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偏差率=100% ×(投标人评标价－评标基准价)/评标基准价</w:t>
            </w:r>
          </w:p>
        </w:tc>
      </w:tr>
    </w:tbl>
    <w:p>
      <w:pPr>
        <w:pStyle w:val="25"/>
        <w:rPr>
          <w:rFonts w:hint="eastAsia" w:ascii="仿宋" w:hAnsi="仿宋" w:eastAsia="仿宋" w:cs="仿宋"/>
          <w:color w:val="auto"/>
          <w:highlight w:val="none"/>
          <w:lang w:val="en-US" w:eastAsia="zh-CN"/>
        </w:rPr>
      </w:pPr>
    </w:p>
    <w:tbl>
      <w:tblPr>
        <w:tblStyle w:val="16"/>
        <w:tblpPr w:leftFromText="180" w:rightFromText="180" w:vertAnchor="text" w:horzAnchor="page" w:tblpXSpec="center" w:tblpY="416"/>
        <w:tblOverlap w:val="never"/>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01"/>
        <w:gridCol w:w="1161"/>
        <w:gridCol w:w="1222"/>
        <w:gridCol w:w="944"/>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12" w:type="dxa"/>
            <w:gridSpan w:val="5"/>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评分因素与权重分值</w:t>
            </w:r>
          </w:p>
        </w:tc>
        <w:tc>
          <w:tcPr>
            <w:tcW w:w="3198"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90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评分因素权重分值</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各评分因素细分项</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3198" w:type="dxa"/>
            <w:vMerge w:val="continue"/>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.5</w:t>
            </w:r>
          </w:p>
        </w:tc>
        <w:tc>
          <w:tcPr>
            <w:tcW w:w="1901"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实施方案</w:t>
            </w:r>
          </w:p>
        </w:tc>
        <w:tc>
          <w:tcPr>
            <w:tcW w:w="1161"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single"/>
                <w:lang w:val="en-US" w:eastAsia="zh-CN"/>
              </w:rPr>
              <w:t xml:space="preserve"> 70 </w:t>
            </w:r>
            <w:r>
              <w:rPr>
                <w:rFonts w:hint="eastAsia" w:ascii="仿宋" w:hAnsi="仿宋" w:eastAsia="仿宋" w:cs="仿宋"/>
                <w:color w:val="auto"/>
                <w:sz w:val="21"/>
                <w:szCs w:val="21"/>
                <w:highlight w:val="none"/>
              </w:rPr>
              <w:t>分</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组织方案</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Style w:val="32"/>
                <w:rFonts w:hint="eastAsia" w:ascii="仿宋" w:hAnsi="仿宋" w:eastAsia="仿宋" w:cs="仿宋"/>
                <w:color w:val="auto"/>
                <w:sz w:val="21"/>
                <w:szCs w:val="21"/>
                <w:highlight w:val="none"/>
                <w:u w:val="single"/>
                <w:lang w:val="en-US" w:eastAsia="zh-CN"/>
              </w:rPr>
              <w:t>15</w:t>
            </w:r>
            <w:r>
              <w:rPr>
                <w:rFonts w:hint="eastAsia" w:ascii="仿宋" w:hAnsi="仿宋" w:eastAsia="仿宋" w:cs="仿宋"/>
                <w:color w:val="auto"/>
                <w:sz w:val="21"/>
                <w:szCs w:val="21"/>
                <w:highlight w:val="none"/>
              </w:rPr>
              <w:t>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交货期、专业人员配备、安全组织措施</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（1）方案具体完善、合理、全面，且可操作性强为优</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得 </w:t>
            </w:r>
            <w:r>
              <w:rPr>
                <w:rFonts w:hint="eastAsia" w:ascii="仿宋" w:hAnsi="仿宋" w:eastAsia="仿宋" w:cs="仿宋"/>
                <w:color w:val="auto"/>
                <w:sz w:val="21"/>
                <w:szCs w:val="21"/>
                <w:highlight w:val="none"/>
                <w:lang w:val="en-US" w:eastAsia="zh-CN"/>
              </w:rPr>
              <w:t>12-15</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（2）方案具体完整、基本合理可行的为良，得</w:t>
            </w:r>
            <w:r>
              <w:rPr>
                <w:rFonts w:hint="eastAsia" w:ascii="仿宋" w:hAnsi="仿宋" w:eastAsia="仿宋" w:cs="仿宋"/>
                <w:color w:val="auto"/>
                <w:sz w:val="21"/>
                <w:szCs w:val="21"/>
                <w:highlight w:val="none"/>
                <w:lang w:val="en-US" w:eastAsia="zh-CN"/>
              </w:rPr>
              <w:t>9-12</w:t>
            </w:r>
            <w:r>
              <w:rPr>
                <w:rFonts w:hint="eastAsia" w:ascii="仿宋" w:hAnsi="仿宋" w:eastAsia="仿宋" w:cs="仿宋"/>
                <w:color w:val="auto"/>
                <w:sz w:val="21"/>
                <w:szCs w:val="21"/>
                <w:highlight w:val="none"/>
              </w:rPr>
              <w:t>分；</w:t>
            </w:r>
          </w:p>
          <w:p>
            <w:pPr>
              <w:rPr>
                <w:rFonts w:hint="eastAsia" w:ascii="仿宋" w:hAnsi="仿宋" w:eastAsia="仿宋" w:cs="仿宋"/>
                <w:color w:val="auto"/>
                <w:highlight w:val="none"/>
              </w:rPr>
            </w:pPr>
            <w:r>
              <w:rPr>
                <w:rFonts w:hint="eastAsia" w:ascii="仿宋" w:hAnsi="仿宋" w:eastAsia="仿宋" w:cs="仿宋"/>
                <w:color w:val="auto"/>
                <w:sz w:val="21"/>
                <w:szCs w:val="21"/>
                <w:highlight w:val="none"/>
              </w:rPr>
              <w:t>（3）一般但不被评定为不响应的,</w:t>
            </w:r>
            <w:r>
              <w:rPr>
                <w:rFonts w:hint="eastAsia"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rPr>
              <w:t>起评分</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90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16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kern w:val="2"/>
                <w:sz w:val="21"/>
                <w:szCs w:val="21"/>
                <w:highlight w:val="none"/>
                <w:u w:val="single"/>
                <w:lang w:val="en-US" w:eastAsia="zh-CN"/>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产品质量保障方案</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Style w:val="32"/>
                <w:rFonts w:hint="default" w:ascii="仿宋" w:hAnsi="仿宋" w:eastAsia="仿宋" w:cs="仿宋"/>
                <w:color w:val="auto"/>
                <w:sz w:val="21"/>
                <w:szCs w:val="21"/>
                <w:highlight w:val="none"/>
                <w:u w:val="single"/>
                <w:lang w:val="en-US" w:eastAsia="zh-CN"/>
              </w:rPr>
            </w:pPr>
            <w:r>
              <w:rPr>
                <w:rStyle w:val="32"/>
                <w:rFonts w:hint="eastAsia" w:ascii="仿宋" w:hAnsi="仿宋" w:eastAsia="仿宋" w:cs="仿宋"/>
                <w:color w:val="auto"/>
                <w:sz w:val="21"/>
                <w:szCs w:val="21"/>
                <w:highlight w:val="none"/>
                <w:u w:val="single"/>
                <w:lang w:val="en-US" w:eastAsia="zh-CN"/>
              </w:rPr>
              <w:t>20分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货物来源渠道、质量控制措施、质量保障管理及制度内容</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（1）方案具体完善、合理、全面，且可操作性强为优</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得 </w:t>
            </w:r>
            <w:r>
              <w:rPr>
                <w:rFonts w:hint="eastAsia" w:ascii="仿宋" w:hAnsi="仿宋" w:eastAsia="仿宋" w:cs="仿宋"/>
                <w:color w:val="auto"/>
                <w:sz w:val="21"/>
                <w:szCs w:val="21"/>
                <w:highlight w:val="none"/>
                <w:lang w:val="en-US" w:eastAsia="zh-CN"/>
              </w:rPr>
              <w:t>16-20</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（2）方案具体完整、基本合理可行的为良，得</w:t>
            </w:r>
            <w:r>
              <w:rPr>
                <w:rFonts w:hint="eastAsia" w:ascii="仿宋" w:hAnsi="仿宋" w:eastAsia="仿宋" w:cs="仿宋"/>
                <w:color w:val="auto"/>
                <w:sz w:val="21"/>
                <w:szCs w:val="21"/>
                <w:highlight w:val="none"/>
                <w:lang w:val="en-US" w:eastAsia="zh-CN"/>
              </w:rPr>
              <w:t>12-16</w:t>
            </w:r>
            <w:r>
              <w:rPr>
                <w:rFonts w:hint="eastAsia" w:ascii="仿宋" w:hAnsi="仿宋" w:eastAsia="仿宋" w:cs="仿宋"/>
                <w:color w:val="auto"/>
                <w:sz w:val="21"/>
                <w:szCs w:val="21"/>
                <w:highlight w:val="none"/>
              </w:rPr>
              <w:t>分；</w:t>
            </w:r>
          </w:p>
          <w:p>
            <w:pPr>
              <w:rPr>
                <w:rFonts w:hint="eastAsia"/>
                <w:lang w:eastAsia="zh-CN"/>
              </w:rPr>
            </w:pPr>
            <w:r>
              <w:rPr>
                <w:rFonts w:hint="eastAsia" w:ascii="仿宋" w:hAnsi="仿宋" w:eastAsia="仿宋" w:cs="仿宋"/>
                <w:color w:val="auto"/>
                <w:sz w:val="21"/>
                <w:szCs w:val="21"/>
                <w:highlight w:val="none"/>
              </w:rPr>
              <w:t>（3）一般但不被评定为不响应的,</w:t>
            </w:r>
            <w:r>
              <w:rPr>
                <w:rFonts w:hint="eastAsia"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rPr>
              <w:t>起评分</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90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16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kern w:val="2"/>
                <w:sz w:val="21"/>
                <w:szCs w:val="21"/>
                <w:highlight w:val="none"/>
                <w:u w:val="single"/>
                <w:lang w:val="en-US" w:eastAsia="zh-CN"/>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default" w:ascii="仿宋" w:hAnsi="仿宋" w:eastAsia="仿宋" w:cs="仿宋"/>
                <w:color w:val="auto"/>
                <w:sz w:val="21"/>
                <w:szCs w:val="21"/>
                <w:highlight w:val="none"/>
                <w:lang w:val="en-US" w:eastAsia="zh-CN"/>
              </w:rPr>
            </w:pPr>
            <w:r>
              <w:rPr>
                <w:rFonts w:hint="eastAsia" w:eastAsia="仿宋"/>
                <w:lang w:val="en-US" w:eastAsia="zh-CN"/>
              </w:rPr>
              <w:t>安装方案</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Style w:val="32"/>
                <w:rFonts w:hint="default" w:ascii="仿宋" w:hAnsi="仿宋" w:eastAsia="仿宋" w:cs="仿宋"/>
                <w:color w:val="auto"/>
                <w:sz w:val="21"/>
                <w:szCs w:val="21"/>
                <w:highlight w:val="none"/>
                <w:u w:val="single"/>
                <w:lang w:val="en-US" w:eastAsia="zh-CN"/>
              </w:rPr>
            </w:pPr>
            <w:r>
              <w:rPr>
                <w:rStyle w:val="32"/>
                <w:rFonts w:hint="eastAsia" w:ascii="仿宋" w:hAnsi="仿宋" w:eastAsia="仿宋" w:cs="仿宋"/>
                <w:color w:val="auto"/>
                <w:sz w:val="21"/>
                <w:szCs w:val="21"/>
                <w:highlight w:val="none"/>
                <w:u w:val="single"/>
                <w:lang w:val="en-US" w:eastAsia="zh-CN"/>
              </w:rPr>
              <w:t>20分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货物运输、安装、调试方案的计划和步骤</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（1）方案具体完善、合理、全面，且可操作性强为优</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得 </w:t>
            </w:r>
            <w:r>
              <w:rPr>
                <w:rFonts w:hint="eastAsia" w:ascii="仿宋" w:hAnsi="仿宋" w:eastAsia="仿宋" w:cs="仿宋"/>
                <w:color w:val="auto"/>
                <w:sz w:val="21"/>
                <w:szCs w:val="21"/>
                <w:highlight w:val="none"/>
                <w:lang w:val="en-US" w:eastAsia="zh-CN"/>
              </w:rPr>
              <w:t>16-20</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（2）方案具体完整、基本合理可行的为良，得</w:t>
            </w:r>
            <w:r>
              <w:rPr>
                <w:rFonts w:hint="eastAsia" w:ascii="仿宋" w:hAnsi="仿宋" w:eastAsia="仿宋" w:cs="仿宋"/>
                <w:color w:val="auto"/>
                <w:sz w:val="21"/>
                <w:szCs w:val="21"/>
                <w:highlight w:val="none"/>
                <w:lang w:val="en-US" w:eastAsia="zh-CN"/>
              </w:rPr>
              <w:t>12-16</w:t>
            </w:r>
            <w:r>
              <w:rPr>
                <w:rFonts w:hint="eastAsia" w:ascii="仿宋" w:hAnsi="仿宋" w:eastAsia="仿宋" w:cs="仿宋"/>
                <w:color w:val="auto"/>
                <w:sz w:val="21"/>
                <w:szCs w:val="21"/>
                <w:highlight w:val="none"/>
              </w:rPr>
              <w:t>分；</w:t>
            </w:r>
          </w:p>
          <w:p>
            <w:pPr>
              <w:rPr>
                <w:rFonts w:hint="eastAsia" w:ascii="仿宋" w:hAnsi="仿宋" w:eastAsia="仿宋" w:cs="仿宋"/>
                <w:color w:val="auto"/>
                <w:highlight w:val="none"/>
              </w:rPr>
            </w:pPr>
            <w:r>
              <w:rPr>
                <w:rFonts w:hint="eastAsia" w:ascii="仿宋" w:hAnsi="仿宋" w:eastAsia="仿宋" w:cs="仿宋"/>
                <w:color w:val="auto"/>
                <w:sz w:val="21"/>
                <w:szCs w:val="21"/>
                <w:highlight w:val="none"/>
              </w:rPr>
              <w:t>（3）一般但不被评定为不响应的,</w:t>
            </w:r>
            <w:r>
              <w:rPr>
                <w:rFonts w:hint="eastAsia"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rPr>
              <w:t>起评分</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90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p>
        </w:tc>
        <w:tc>
          <w:tcPr>
            <w:tcW w:w="116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kern w:val="2"/>
                <w:sz w:val="21"/>
                <w:szCs w:val="21"/>
                <w:highlight w:val="none"/>
                <w:u w:val="single"/>
                <w:lang w:val="en-US" w:eastAsia="zh-CN"/>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售后方案</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Style w:val="32"/>
                <w:rFonts w:hint="default" w:ascii="仿宋" w:hAnsi="仿宋" w:eastAsia="仿宋" w:cs="仿宋"/>
                <w:color w:val="auto"/>
                <w:sz w:val="21"/>
                <w:szCs w:val="21"/>
                <w:highlight w:val="none"/>
                <w:u w:val="single"/>
                <w:lang w:val="en-US" w:eastAsia="zh-CN"/>
              </w:rPr>
            </w:pPr>
            <w:r>
              <w:rPr>
                <w:rStyle w:val="32"/>
                <w:rFonts w:hint="eastAsia" w:ascii="仿宋" w:hAnsi="仿宋" w:eastAsia="仿宋" w:cs="仿宋"/>
                <w:color w:val="auto"/>
                <w:sz w:val="21"/>
                <w:szCs w:val="21"/>
                <w:highlight w:val="none"/>
                <w:u w:val="single"/>
                <w:lang w:val="en-US" w:eastAsia="zh-CN"/>
              </w:rPr>
              <w:t>15分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售后服务期限、超过售后期限提供的保修方案</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（1）方案具体完善、合理、全面，且可操作性强为优</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得 </w:t>
            </w:r>
            <w:r>
              <w:rPr>
                <w:rFonts w:hint="eastAsia" w:ascii="仿宋" w:hAnsi="仿宋" w:eastAsia="仿宋" w:cs="仿宋"/>
                <w:color w:val="auto"/>
                <w:sz w:val="21"/>
                <w:szCs w:val="21"/>
                <w:highlight w:val="none"/>
                <w:lang w:val="en-US" w:eastAsia="zh-CN"/>
              </w:rPr>
              <w:t>12-15</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（2）方案具体完整、基本合理可行的为良，得</w:t>
            </w:r>
            <w:r>
              <w:rPr>
                <w:rFonts w:hint="eastAsia" w:ascii="仿宋" w:hAnsi="仿宋" w:eastAsia="仿宋" w:cs="仿宋"/>
                <w:color w:val="auto"/>
                <w:sz w:val="21"/>
                <w:szCs w:val="21"/>
                <w:highlight w:val="none"/>
                <w:lang w:val="en-US" w:eastAsia="zh-CN"/>
              </w:rPr>
              <w:t>9-12</w:t>
            </w:r>
            <w:r>
              <w:rPr>
                <w:rFonts w:hint="eastAsia" w:ascii="仿宋" w:hAnsi="仿宋" w:eastAsia="仿宋" w:cs="仿宋"/>
                <w:color w:val="auto"/>
                <w:sz w:val="21"/>
                <w:szCs w:val="21"/>
                <w:highlight w:val="none"/>
              </w:rPr>
              <w:t>分；</w:t>
            </w:r>
          </w:p>
          <w:p>
            <w:pPr>
              <w:rPr>
                <w:rFonts w:hint="eastAsia" w:ascii="仿宋" w:hAnsi="仿宋" w:eastAsia="仿宋" w:cs="仿宋"/>
                <w:color w:val="auto"/>
                <w:highlight w:val="none"/>
              </w:rPr>
            </w:pPr>
            <w:r>
              <w:rPr>
                <w:rFonts w:hint="eastAsia" w:ascii="仿宋" w:hAnsi="仿宋" w:eastAsia="仿宋" w:cs="仿宋"/>
                <w:color w:val="auto"/>
                <w:sz w:val="21"/>
                <w:szCs w:val="21"/>
                <w:highlight w:val="none"/>
              </w:rPr>
              <w:t>（3）一般但不被评定为不响应的,</w:t>
            </w:r>
            <w:r>
              <w:rPr>
                <w:rFonts w:hint="eastAsia"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rPr>
              <w:t>起评分</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.6</w:t>
            </w:r>
          </w:p>
        </w:tc>
        <w:tc>
          <w:tcPr>
            <w:tcW w:w="190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single"/>
                <w:lang w:val="en-US" w:eastAsia="zh-CN"/>
              </w:rPr>
              <w:t xml:space="preserve"> 30 </w:t>
            </w:r>
            <w:r>
              <w:rPr>
                <w:rFonts w:hint="eastAsia" w:ascii="仿宋" w:hAnsi="仿宋" w:eastAsia="仿宋" w:cs="仿宋"/>
                <w:color w:val="auto"/>
                <w:sz w:val="21"/>
                <w:szCs w:val="21"/>
                <w:highlight w:val="none"/>
              </w:rPr>
              <w:t>分</w:t>
            </w:r>
          </w:p>
        </w:tc>
        <w:tc>
          <w:tcPr>
            <w:tcW w:w="5364" w:type="dxa"/>
            <w:gridSpan w:val="3"/>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(1)如果投标人的评标价&gt;评标基准价，则评标价得分＝F－偏差率×100× D1；D1取 </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(2)如果投标人的评标价≤评标基准价，则评标价得分＝F＋偏差率× 100×D2；D2＝ </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pacing w:val="0"/>
                <w:kern w:val="2"/>
                <w:sz w:val="21"/>
                <w:szCs w:val="21"/>
                <w:highlight w:val="none"/>
                <w:lang w:val="en-US" w:eastAsia="zh-CN"/>
              </w:rPr>
            </w:pPr>
            <w:r>
              <w:rPr>
                <w:rFonts w:hint="eastAsia" w:ascii="仿宋_GB2312" w:hAnsi="仿宋_GB2312" w:eastAsia="仿宋_GB2312" w:cs="仿宋_GB2312"/>
                <w:color w:val="auto"/>
                <w:sz w:val="21"/>
                <w:szCs w:val="21"/>
                <w:highlight w:val="none"/>
              </w:rPr>
              <w:t>注：评标价得分四舍五入至小数点后四位。</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0"/>
                <w:kern w:val="2"/>
                <w:sz w:val="21"/>
                <w:szCs w:val="21"/>
                <w:highlight w:val="none"/>
                <w:lang w:val="en-US" w:eastAsia="zh-CN"/>
              </w:rPr>
              <w:t>F=评标价所占权重分值</w:t>
            </w:r>
          </w:p>
        </w:tc>
      </w:tr>
    </w:tbl>
    <w:p>
      <w:pPr>
        <w:pStyle w:val="25"/>
        <w:rPr>
          <w:rFonts w:hint="eastAsia" w:ascii="仿宋" w:hAnsi="仿宋" w:eastAsia="仿宋" w:cs="仿宋"/>
          <w:color w:val="auto"/>
          <w:highlight w:val="none"/>
          <w:lang w:val="en-US" w:eastAsia="zh-CN"/>
        </w:rPr>
      </w:pPr>
    </w:p>
    <w:p>
      <w:pPr>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bCs/>
          <w:strike w:val="0"/>
          <w:dstrike w:val="0"/>
          <w:color w:val="auto"/>
          <w:szCs w:val="21"/>
          <w:highlight w:val="none"/>
          <w:lang w:val="en-US" w:eastAsia="zh-CN"/>
        </w:rPr>
        <w:t>注：投标人的商务技术分得分为按本表“各评分因素细分项”各评审专家评分合计的算术平均值，保留至小数点后两位，第三位四舍五入。</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lang w:eastAsia="zh-CN"/>
        </w:rPr>
      </w:pPr>
      <w:r>
        <w:rPr>
          <w:rFonts w:hint="eastAsia" w:ascii="仿宋" w:hAnsi="仿宋" w:eastAsia="仿宋" w:cs="仿宋"/>
          <w:b/>
          <w:bCs/>
          <w:strike w:val="0"/>
          <w:dstrike w:val="0"/>
          <w:color w:val="auto"/>
          <w:kern w:val="0"/>
          <w:szCs w:val="21"/>
          <w:highlight w:val="none"/>
          <w:lang w:val="en-US" w:eastAsia="zh-CN"/>
        </w:rPr>
        <w:t>5</w:t>
      </w:r>
      <w:r>
        <w:rPr>
          <w:rFonts w:hint="eastAsia" w:ascii="仿宋" w:hAnsi="仿宋" w:eastAsia="仿宋" w:cs="仿宋"/>
          <w:b/>
          <w:bCs/>
          <w:strike w:val="0"/>
          <w:dstrike w:val="0"/>
          <w:color w:val="auto"/>
          <w:kern w:val="0"/>
          <w:szCs w:val="21"/>
          <w:highlight w:val="none"/>
        </w:rPr>
        <w:t>、</w:t>
      </w:r>
      <w:r>
        <w:rPr>
          <w:rFonts w:hint="eastAsia" w:ascii="仿宋" w:hAnsi="仿宋" w:eastAsia="仿宋" w:cs="仿宋"/>
          <w:b/>
          <w:bCs/>
          <w:strike w:val="0"/>
          <w:dstrike w:val="0"/>
          <w:color w:val="auto"/>
          <w:kern w:val="0"/>
          <w:szCs w:val="21"/>
          <w:highlight w:val="none"/>
          <w:lang w:eastAsia="zh-CN"/>
        </w:rPr>
        <w:t>废标</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w:t>
      </w:r>
      <w:r>
        <w:rPr>
          <w:rFonts w:hint="eastAsia" w:ascii="仿宋" w:hAnsi="仿宋" w:eastAsia="仿宋" w:cs="仿宋"/>
          <w:strike w:val="0"/>
          <w:dstrike w:val="0"/>
          <w:color w:val="auto"/>
          <w:kern w:val="0"/>
          <w:szCs w:val="21"/>
          <w:highlight w:val="none"/>
          <w:lang w:val="en-US" w:eastAsia="zh-CN"/>
        </w:rPr>
        <w:t>第</w:t>
      </w:r>
      <w:r>
        <w:rPr>
          <w:rFonts w:hint="eastAsia" w:ascii="仿宋" w:hAnsi="仿宋" w:eastAsia="仿宋" w:cs="仿宋"/>
          <w:strike w:val="0"/>
          <w:dstrike w:val="0"/>
          <w:color w:val="auto"/>
          <w:kern w:val="0"/>
          <w:szCs w:val="21"/>
          <w:highlight w:val="none"/>
        </w:rPr>
        <w:t>2</w:t>
      </w:r>
      <w:r>
        <w:rPr>
          <w:rFonts w:hint="eastAsia" w:ascii="仿宋" w:hAnsi="仿宋" w:eastAsia="仿宋" w:cs="仿宋"/>
          <w:strike w:val="0"/>
          <w:dstrike w:val="0"/>
          <w:color w:val="auto"/>
          <w:kern w:val="0"/>
          <w:szCs w:val="21"/>
          <w:highlight w:val="none"/>
          <w:lang w:val="en-US" w:eastAsia="zh-CN"/>
        </w:rPr>
        <w:t>6</w:t>
      </w:r>
      <w:r>
        <w:rPr>
          <w:rFonts w:hint="eastAsia" w:ascii="仿宋" w:hAnsi="仿宋" w:eastAsia="仿宋" w:cs="仿宋"/>
          <w:strike w:val="0"/>
          <w:dstrike w:val="0"/>
          <w:color w:val="auto"/>
          <w:kern w:val="0"/>
          <w:szCs w:val="21"/>
          <w:highlight w:val="none"/>
        </w:rPr>
        <w:t>条。</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rPr>
      </w:pPr>
      <w:r>
        <w:rPr>
          <w:rFonts w:hint="eastAsia" w:ascii="仿宋" w:hAnsi="仿宋" w:eastAsia="仿宋" w:cs="仿宋"/>
          <w:b/>
          <w:bCs/>
          <w:strike w:val="0"/>
          <w:dstrike w:val="0"/>
          <w:color w:val="auto"/>
          <w:kern w:val="0"/>
          <w:szCs w:val="21"/>
          <w:highlight w:val="none"/>
          <w:lang w:val="en-US" w:eastAsia="zh-CN"/>
        </w:rPr>
        <w:t>6</w:t>
      </w:r>
      <w:r>
        <w:rPr>
          <w:rFonts w:hint="eastAsia" w:ascii="仿宋" w:hAnsi="仿宋" w:eastAsia="仿宋" w:cs="仿宋"/>
          <w:b/>
          <w:bCs/>
          <w:strike w:val="0"/>
          <w:dstrike w:val="0"/>
          <w:color w:val="auto"/>
          <w:kern w:val="0"/>
          <w:szCs w:val="21"/>
          <w:highlight w:val="none"/>
        </w:rPr>
        <w:t>、推荐</w:t>
      </w:r>
      <w:r>
        <w:rPr>
          <w:rFonts w:hint="eastAsia" w:ascii="仿宋" w:hAnsi="仿宋" w:eastAsia="仿宋" w:cs="仿宋"/>
          <w:b/>
          <w:bCs/>
          <w:strike w:val="0"/>
          <w:dstrike w:val="0"/>
          <w:color w:val="auto"/>
          <w:kern w:val="0"/>
          <w:szCs w:val="21"/>
          <w:highlight w:val="none"/>
          <w:lang w:eastAsia="zh-CN"/>
        </w:rPr>
        <w:t>中标候选人</w:t>
      </w:r>
      <w:r>
        <w:rPr>
          <w:rFonts w:hint="eastAsia" w:ascii="仿宋" w:hAnsi="仿宋" w:eastAsia="仿宋" w:cs="仿宋"/>
          <w:b/>
          <w:bCs/>
          <w:strike w:val="0"/>
          <w:dstrike w:val="0"/>
          <w:color w:val="auto"/>
          <w:kern w:val="0"/>
          <w:szCs w:val="21"/>
          <w:highlight w:val="none"/>
        </w:rPr>
        <w:t>的原则</w:t>
      </w:r>
    </w:p>
    <w:p>
      <w:pPr>
        <w:adjustRightInd w:val="0"/>
        <w:snapToGrid w:val="0"/>
        <w:spacing w:line="360" w:lineRule="auto"/>
        <w:ind w:firstLine="420" w:firstLineChars="200"/>
        <w:rPr>
          <w:rFonts w:hint="eastAsia" w:ascii="仿宋" w:hAnsi="仿宋" w:eastAsia="仿宋" w:cs="仿宋"/>
          <w:b/>
          <w:strike w:val="0"/>
          <w:dstrike w:val="0"/>
          <w:color w:val="auto"/>
          <w:szCs w:val="21"/>
          <w:highlight w:val="none"/>
        </w:rPr>
      </w:pPr>
      <w:r>
        <w:rPr>
          <w:rFonts w:hint="eastAsia" w:ascii="仿宋" w:hAnsi="仿宋" w:eastAsia="仿宋" w:cs="仿宋"/>
          <w:bCs/>
          <w:strike w:val="0"/>
          <w:dstrike w:val="0"/>
          <w:color w:val="auto"/>
          <w:szCs w:val="21"/>
          <w:highlight w:val="none"/>
          <w:lang w:val="en-US" w:eastAsia="zh-CN"/>
        </w:rPr>
        <w:t>详见第一章投标人须知第29条。</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lang w:eastAsia="zh-CN"/>
        </w:rPr>
      </w:pPr>
      <w:r>
        <w:rPr>
          <w:rFonts w:hint="eastAsia" w:ascii="仿宋" w:hAnsi="仿宋" w:eastAsia="仿宋" w:cs="仿宋"/>
          <w:b/>
          <w:strike w:val="0"/>
          <w:dstrike w:val="0"/>
          <w:color w:val="auto"/>
          <w:szCs w:val="21"/>
          <w:highlight w:val="none"/>
        </w:rPr>
        <w:t>三、</w:t>
      </w:r>
      <w:r>
        <w:rPr>
          <w:rFonts w:hint="eastAsia" w:ascii="仿宋" w:hAnsi="仿宋" w:eastAsia="仿宋" w:cs="仿宋"/>
          <w:b/>
          <w:strike w:val="0"/>
          <w:dstrike w:val="0"/>
          <w:color w:val="auto"/>
          <w:kern w:val="0"/>
          <w:szCs w:val="21"/>
          <w:highlight w:val="none"/>
        </w:rPr>
        <w:t>确定</w:t>
      </w:r>
      <w:r>
        <w:rPr>
          <w:rFonts w:hint="eastAsia" w:ascii="仿宋" w:hAnsi="仿宋" w:eastAsia="仿宋" w:cs="仿宋"/>
          <w:b/>
          <w:strike w:val="0"/>
          <w:dstrike w:val="0"/>
          <w:color w:val="auto"/>
          <w:kern w:val="0"/>
          <w:szCs w:val="21"/>
          <w:highlight w:val="none"/>
          <w:lang w:eastAsia="zh-CN"/>
        </w:rPr>
        <w:t>中标人</w:t>
      </w:r>
    </w:p>
    <w:p>
      <w:pPr>
        <w:adjustRightInd w:val="0"/>
        <w:snapToGrid w:val="0"/>
        <w:spacing w:line="360" w:lineRule="auto"/>
        <w:ind w:firstLine="420" w:firstLineChars="200"/>
        <w:rPr>
          <w:rFonts w:hint="eastAsia" w:ascii="仿宋" w:hAnsi="仿宋" w:eastAsia="仿宋" w:cs="仿宋"/>
          <w:strike w:val="0"/>
          <w:dstrike w:val="0"/>
          <w:color w:val="auto"/>
          <w:szCs w:val="21"/>
          <w:highlight w:val="none"/>
        </w:rPr>
      </w:pP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根据全体</w:t>
      </w: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成员签字的原始评审记录和评审结果编写评审报告，并向</w:t>
      </w: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提交书面评审报告。</w:t>
      </w:r>
    </w:p>
    <w:p>
      <w:pPr>
        <w:adjustRightInd w:val="0"/>
        <w:snapToGrid w:val="0"/>
        <w:spacing w:line="360" w:lineRule="auto"/>
        <w:ind w:firstLine="420" w:firstLineChars="200"/>
        <w:rPr>
          <w:rFonts w:hint="eastAsia" w:ascii="仿宋" w:hAnsi="仿宋" w:eastAsia="仿宋" w:cs="仿宋"/>
          <w:strike w:val="0"/>
          <w:dstrike w:val="0"/>
          <w:color w:val="auto"/>
          <w:kern w:val="0"/>
          <w:sz w:val="24"/>
          <w:highlight w:val="none"/>
        </w:rPr>
      </w:pP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按照评审报告确定的</w:t>
      </w:r>
      <w:r>
        <w:rPr>
          <w:rFonts w:hint="eastAsia" w:ascii="仿宋" w:hAnsi="仿宋" w:eastAsia="仿宋" w:cs="仿宋"/>
          <w:strike w:val="0"/>
          <w:dstrike w:val="0"/>
          <w:color w:val="auto"/>
          <w:szCs w:val="21"/>
          <w:highlight w:val="none"/>
          <w:lang w:eastAsia="zh-CN"/>
        </w:rPr>
        <w:t>中标候选人</w:t>
      </w:r>
      <w:r>
        <w:rPr>
          <w:rFonts w:hint="eastAsia" w:ascii="仿宋" w:hAnsi="仿宋" w:eastAsia="仿宋" w:cs="仿宋"/>
          <w:strike w:val="0"/>
          <w:dstrike w:val="0"/>
          <w:color w:val="auto"/>
          <w:szCs w:val="21"/>
          <w:highlight w:val="none"/>
        </w:rPr>
        <w:t>名单按顺序确定</w:t>
      </w:r>
      <w:r>
        <w:rPr>
          <w:rFonts w:hint="eastAsia" w:ascii="仿宋" w:hAnsi="仿宋" w:eastAsia="仿宋" w:cs="仿宋"/>
          <w:strike w:val="0"/>
          <w:dstrike w:val="0"/>
          <w:color w:val="auto"/>
          <w:szCs w:val="21"/>
          <w:highlight w:val="none"/>
          <w:lang w:eastAsia="zh-CN"/>
        </w:rPr>
        <w:t>中标人</w:t>
      </w:r>
      <w:r>
        <w:rPr>
          <w:rFonts w:hint="eastAsia" w:ascii="仿宋" w:hAnsi="仿宋" w:eastAsia="仿宋" w:cs="仿宋"/>
          <w:strike w:val="0"/>
          <w:dstrike w:val="0"/>
          <w:color w:val="auto"/>
          <w:szCs w:val="21"/>
          <w:highlight w:val="none"/>
        </w:rPr>
        <w:t>，或由</w:t>
      </w: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委托</w:t>
      </w: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按照第</w:t>
      </w:r>
      <w:r>
        <w:rPr>
          <w:rFonts w:hint="eastAsia" w:ascii="仿宋" w:hAnsi="仿宋" w:eastAsia="仿宋" w:cs="仿宋"/>
          <w:strike w:val="0"/>
          <w:dstrike w:val="0"/>
          <w:color w:val="auto"/>
          <w:szCs w:val="21"/>
          <w:highlight w:val="none"/>
          <w:lang w:val="en-US" w:eastAsia="zh-CN"/>
        </w:rPr>
        <w:t>二</w:t>
      </w:r>
      <w:r>
        <w:rPr>
          <w:rFonts w:hint="eastAsia" w:ascii="仿宋" w:hAnsi="仿宋" w:eastAsia="仿宋" w:cs="仿宋"/>
          <w:strike w:val="0"/>
          <w:dstrike w:val="0"/>
          <w:color w:val="auto"/>
          <w:szCs w:val="21"/>
          <w:highlight w:val="none"/>
        </w:rPr>
        <w:t>章</w:t>
      </w:r>
      <w:r>
        <w:rPr>
          <w:rFonts w:hint="eastAsia" w:ascii="仿宋" w:hAnsi="仿宋" w:eastAsia="仿宋" w:cs="仿宋"/>
          <w:strike w:val="0"/>
          <w:dstrike w:val="0"/>
          <w:color w:val="auto"/>
          <w:szCs w:val="21"/>
          <w:highlight w:val="none"/>
          <w:lang w:eastAsia="zh-CN"/>
        </w:rPr>
        <w:t>“投标人</w:t>
      </w:r>
      <w:r>
        <w:rPr>
          <w:rFonts w:hint="eastAsia" w:ascii="仿宋" w:hAnsi="仿宋" w:eastAsia="仿宋" w:cs="仿宋"/>
          <w:strike w:val="0"/>
          <w:dstrike w:val="0"/>
          <w:color w:val="auto"/>
          <w:szCs w:val="21"/>
          <w:highlight w:val="none"/>
        </w:rPr>
        <w:t>须知表</w:t>
      </w:r>
      <w:r>
        <w:rPr>
          <w:rFonts w:hint="eastAsia" w:ascii="仿宋" w:hAnsi="仿宋" w:eastAsia="仿宋" w:cs="仿宋"/>
          <w:strike w:val="0"/>
          <w:dstrike w:val="0"/>
          <w:color w:val="auto"/>
          <w:szCs w:val="21"/>
          <w:highlight w:val="none"/>
          <w:lang w:eastAsia="zh-CN"/>
        </w:rPr>
        <w:t>”</w:t>
      </w:r>
      <w:r>
        <w:rPr>
          <w:rFonts w:hint="eastAsia" w:ascii="仿宋" w:hAnsi="仿宋" w:eastAsia="仿宋" w:cs="仿宋"/>
          <w:strike w:val="0"/>
          <w:dstrike w:val="0"/>
          <w:color w:val="auto"/>
          <w:szCs w:val="21"/>
          <w:highlight w:val="none"/>
          <w:lang w:val="en-US" w:eastAsia="zh-CN"/>
        </w:rPr>
        <w:t>第</w:t>
      </w:r>
      <w:r>
        <w:rPr>
          <w:rFonts w:hint="eastAsia" w:ascii="仿宋" w:hAnsi="仿宋" w:eastAsia="仿宋" w:cs="仿宋"/>
          <w:strike w:val="0"/>
          <w:dstrike w:val="0"/>
          <w:color w:val="auto"/>
          <w:szCs w:val="21"/>
          <w:highlight w:val="none"/>
        </w:rPr>
        <w:t>3</w:t>
      </w:r>
      <w:r>
        <w:rPr>
          <w:rFonts w:hint="eastAsia" w:ascii="仿宋" w:hAnsi="仿宋" w:eastAsia="仿宋" w:cs="仿宋"/>
          <w:strike w:val="0"/>
          <w:dstrike w:val="0"/>
          <w:color w:val="auto"/>
          <w:szCs w:val="21"/>
          <w:highlight w:val="none"/>
          <w:lang w:val="en-US" w:eastAsia="zh-CN"/>
        </w:rPr>
        <w:t>1</w:t>
      </w:r>
      <w:r>
        <w:rPr>
          <w:rFonts w:hint="eastAsia" w:ascii="仿宋" w:hAnsi="仿宋" w:eastAsia="仿宋" w:cs="仿宋"/>
          <w:strike w:val="0"/>
          <w:dstrike w:val="0"/>
          <w:color w:val="auto"/>
          <w:szCs w:val="21"/>
          <w:highlight w:val="none"/>
        </w:rPr>
        <w:t>条中规定的方式确定</w:t>
      </w:r>
      <w:r>
        <w:rPr>
          <w:rFonts w:hint="eastAsia" w:ascii="仿宋" w:hAnsi="仿宋" w:eastAsia="仿宋" w:cs="仿宋"/>
          <w:strike w:val="0"/>
          <w:dstrike w:val="0"/>
          <w:color w:val="auto"/>
          <w:szCs w:val="21"/>
          <w:highlight w:val="none"/>
          <w:lang w:eastAsia="zh-CN"/>
        </w:rPr>
        <w:t>中标人</w:t>
      </w:r>
      <w:r>
        <w:rPr>
          <w:rFonts w:hint="eastAsia" w:ascii="仿宋" w:hAnsi="仿宋" w:eastAsia="仿宋" w:cs="仿宋"/>
          <w:strike w:val="0"/>
          <w:dstrike w:val="0"/>
          <w:color w:val="auto"/>
          <w:szCs w:val="21"/>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trike w:val="0"/>
          <w:dstrike w:val="0"/>
          <w:color w:val="auto"/>
          <w:sz w:val="28"/>
          <w:szCs w:val="28"/>
          <w:highlight w:val="none"/>
        </w:rPr>
        <w:br w:type="page"/>
      </w:r>
      <w:r>
        <w:rPr>
          <w:rFonts w:hint="eastAsia" w:ascii="仿宋" w:hAnsi="仿宋" w:eastAsia="仿宋" w:cs="仿宋"/>
          <w:color w:val="auto"/>
          <w:sz w:val="28"/>
          <w:szCs w:val="28"/>
          <w:highlight w:val="none"/>
        </w:rPr>
        <w:t xml:space="preserve">附件1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p>
    <w:tbl>
      <w:tblPr>
        <w:tblStyle w:val="16"/>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0"/>
        <w:gridCol w:w="3318"/>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340"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审查项目</w:t>
            </w:r>
          </w:p>
        </w:tc>
        <w:tc>
          <w:tcPr>
            <w:tcW w:w="3318"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审查标准</w:t>
            </w:r>
          </w:p>
        </w:tc>
        <w:tc>
          <w:tcPr>
            <w:tcW w:w="2287" w:type="dxa"/>
            <w:gridSpan w:val="3"/>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投标人</w:t>
            </w:r>
            <w:r>
              <w:rPr>
                <w:rFonts w:hint="eastAsia" w:ascii="仿宋" w:hAnsi="仿宋" w:eastAsia="仿宋" w:cs="仿宋"/>
                <w:b w:val="0"/>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2340"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3318" w:type="dxa"/>
            <w:vMerge w:val="continue"/>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3" w:type="dxa"/>
            <w:noWrap w:val="0"/>
            <w:vAlign w:val="center"/>
          </w:tcPr>
          <w:p>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40" w:type="dxa"/>
            <w:noWrap w:val="0"/>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投标人名称</w:t>
            </w:r>
          </w:p>
        </w:tc>
        <w:tc>
          <w:tcPr>
            <w:tcW w:w="3318" w:type="dxa"/>
            <w:noWrap w:val="0"/>
            <w:vAlign w:val="center"/>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与营业执照（事业单位法人证书）、资质证书等证明性证书一致</w:t>
            </w:r>
          </w:p>
        </w:tc>
        <w:tc>
          <w:tcPr>
            <w:tcW w:w="762"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2340" w:type="dxa"/>
            <w:noWrap w:val="0"/>
            <w:vAlign w:val="center"/>
          </w:tcPr>
          <w:p>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法定代表人身份证明书</w:t>
            </w:r>
          </w:p>
        </w:tc>
        <w:tc>
          <w:tcPr>
            <w:tcW w:w="3318"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按给定格式填写</w:t>
            </w:r>
            <w:r>
              <w:rPr>
                <w:rFonts w:hint="eastAsia" w:ascii="仿宋" w:hAnsi="仿宋" w:eastAsia="仿宋" w:cs="仿宋"/>
                <w:b w:val="0"/>
                <w:color w:val="auto"/>
                <w:sz w:val="21"/>
                <w:szCs w:val="21"/>
                <w:highlight w:val="none"/>
                <w:lang w:val="en-US" w:eastAsia="zh-CN"/>
              </w:rPr>
              <w:t>并</w:t>
            </w:r>
            <w:r>
              <w:rPr>
                <w:rFonts w:hint="eastAsia" w:ascii="仿宋" w:hAnsi="仿宋" w:eastAsia="仿宋" w:cs="仿宋"/>
                <w:b w:val="0"/>
                <w:color w:val="auto"/>
                <w:sz w:val="21"/>
                <w:szCs w:val="21"/>
                <w:highlight w:val="none"/>
              </w:rPr>
              <w:t>按规定签章</w:t>
            </w: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2340" w:type="dxa"/>
            <w:noWrap w:val="0"/>
            <w:vAlign w:val="center"/>
          </w:tcPr>
          <w:p>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highlight w:val="none"/>
              </w:rPr>
              <w:t>法定代表人授权委托书</w:t>
            </w:r>
            <w:r>
              <w:rPr>
                <w:rFonts w:hint="eastAsia" w:ascii="仿宋" w:hAnsi="仿宋" w:eastAsia="仿宋" w:cs="仿宋"/>
                <w:color w:val="auto"/>
                <w:szCs w:val="21"/>
                <w:highlight w:val="none"/>
              </w:rPr>
              <w:t>（如适用）</w:t>
            </w:r>
          </w:p>
        </w:tc>
        <w:tc>
          <w:tcPr>
            <w:tcW w:w="3318"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按给定格式填写</w:t>
            </w:r>
            <w:r>
              <w:rPr>
                <w:rFonts w:hint="eastAsia" w:ascii="仿宋" w:hAnsi="仿宋" w:eastAsia="仿宋" w:cs="仿宋"/>
                <w:b w:val="0"/>
                <w:color w:val="auto"/>
                <w:sz w:val="21"/>
                <w:szCs w:val="21"/>
                <w:highlight w:val="none"/>
                <w:lang w:val="en-US" w:eastAsia="zh-CN"/>
              </w:rPr>
              <w:t>并</w:t>
            </w:r>
            <w:r>
              <w:rPr>
                <w:rFonts w:hint="eastAsia" w:ascii="仿宋" w:hAnsi="仿宋" w:eastAsia="仿宋" w:cs="仿宋"/>
                <w:b w:val="0"/>
                <w:color w:val="auto"/>
                <w:sz w:val="21"/>
                <w:szCs w:val="21"/>
                <w:highlight w:val="none"/>
              </w:rPr>
              <w:t>按规定签章</w:t>
            </w: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4</w:t>
            </w:r>
          </w:p>
        </w:tc>
        <w:tc>
          <w:tcPr>
            <w:tcW w:w="2340" w:type="dxa"/>
            <w:noWrap w:val="0"/>
            <w:vAlign w:val="center"/>
          </w:tcPr>
          <w:p>
            <w:pPr>
              <w:widowControl/>
              <w:snapToGrid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资格条件</w:t>
            </w:r>
          </w:p>
        </w:tc>
        <w:tc>
          <w:tcPr>
            <w:tcW w:w="3318"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满足“投标人须知”1.2款的要求</w:t>
            </w: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2340" w:type="dxa"/>
            <w:noWrap w:val="0"/>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highlight w:val="none"/>
              </w:rPr>
              <w:t>联合体协议（如适用）</w:t>
            </w:r>
          </w:p>
        </w:tc>
        <w:tc>
          <w:tcPr>
            <w:tcW w:w="3318"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满足“投标人须知”1.3款的要求</w:t>
            </w: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noWrap w:val="0"/>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2340" w:type="dxa"/>
            <w:noWrap w:val="0"/>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其它资格证明文件（如适用）</w:t>
            </w:r>
          </w:p>
        </w:tc>
        <w:tc>
          <w:tcPr>
            <w:tcW w:w="3318" w:type="dxa"/>
            <w:noWrap w:val="0"/>
            <w:vAlign w:val="center"/>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按要求提供</w:t>
            </w:r>
            <w:r>
              <w:rPr>
                <w:rFonts w:hint="eastAsia" w:ascii="仿宋" w:hAnsi="仿宋" w:eastAsia="仿宋" w:cs="仿宋"/>
                <w:b w:val="0"/>
                <w:color w:val="auto"/>
                <w:sz w:val="21"/>
                <w:szCs w:val="21"/>
                <w:highlight w:val="none"/>
                <w:lang w:val="en-US" w:eastAsia="zh-CN"/>
              </w:rPr>
              <w:t>且</w:t>
            </w:r>
            <w:r>
              <w:rPr>
                <w:rFonts w:hint="eastAsia" w:ascii="仿宋" w:hAnsi="仿宋" w:eastAsia="仿宋" w:cs="仿宋"/>
                <w:b w:val="0"/>
                <w:color w:val="auto"/>
                <w:sz w:val="21"/>
                <w:szCs w:val="21"/>
                <w:highlight w:val="none"/>
              </w:rPr>
              <w:t>合法有效</w:t>
            </w: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noWrap w:val="0"/>
            <w:vAlign w:val="center"/>
          </w:tcPr>
          <w:p>
            <w:pPr>
              <w:snapToGrid w:val="0"/>
              <w:jc w:val="center"/>
              <w:rPr>
                <w:rFonts w:hint="eastAsia" w:ascii="仿宋" w:hAnsi="仿宋" w:eastAsia="仿宋" w:cs="仿宋"/>
                <w:color w:val="auto"/>
                <w:highlight w:val="none"/>
              </w:rPr>
            </w:pPr>
          </w:p>
        </w:tc>
        <w:tc>
          <w:tcPr>
            <w:tcW w:w="2340" w:type="dxa"/>
            <w:noWrap w:val="0"/>
            <w:vAlign w:val="center"/>
          </w:tcPr>
          <w:p>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结论</w:t>
            </w:r>
          </w:p>
        </w:tc>
        <w:tc>
          <w:tcPr>
            <w:tcW w:w="3318"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评审小组成员</w:t>
      </w:r>
      <w:r>
        <w:rPr>
          <w:rFonts w:hint="eastAsia" w:ascii="仿宋" w:hAnsi="仿宋" w:eastAsia="仿宋" w:cs="仿宋"/>
          <w:color w:val="auto"/>
          <w:highlight w:val="none"/>
        </w:rPr>
        <w:t>签字：</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日      期：</w:t>
      </w: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pStyle w:val="3"/>
        <w:adjustRightInd w:val="0"/>
        <w:snapToGrid w:val="0"/>
        <w:spacing w:before="0" w:after="0"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附件2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响应</w:t>
      </w:r>
      <w:r>
        <w:rPr>
          <w:rFonts w:hint="eastAsia" w:ascii="仿宋" w:hAnsi="仿宋" w:eastAsia="仿宋" w:cs="仿宋"/>
          <w:b/>
          <w:color w:val="auto"/>
          <w:sz w:val="32"/>
          <w:szCs w:val="32"/>
          <w:highlight w:val="none"/>
        </w:rPr>
        <w:t>性审查表</w:t>
      </w:r>
    </w:p>
    <w:tbl>
      <w:tblPr>
        <w:tblStyle w:val="16"/>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502"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审查项目</w:t>
            </w:r>
          </w:p>
        </w:tc>
        <w:tc>
          <w:tcPr>
            <w:tcW w:w="3036" w:type="dxa"/>
            <w:vMerge w:val="restart"/>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审查标准</w:t>
            </w:r>
          </w:p>
        </w:tc>
        <w:tc>
          <w:tcPr>
            <w:tcW w:w="2289" w:type="dxa"/>
            <w:gridSpan w:val="3"/>
            <w:noWrap w:val="0"/>
            <w:vAlign w:val="center"/>
          </w:tcPr>
          <w:p>
            <w:pPr>
              <w:pStyle w:val="3"/>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投标人</w:t>
            </w:r>
            <w:r>
              <w:rPr>
                <w:rFonts w:hint="eastAsia" w:ascii="仿宋" w:hAnsi="仿宋" w:eastAsia="仿宋" w:cs="仿宋"/>
                <w:b w:val="0"/>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2502" w:type="dxa"/>
            <w:vMerge w:val="continue"/>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3036" w:type="dxa"/>
            <w:vMerge w:val="continue"/>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w:t>
            </w:r>
          </w:p>
        </w:tc>
        <w:tc>
          <w:tcPr>
            <w:tcW w:w="2502" w:type="dxa"/>
            <w:noWrap w:val="0"/>
            <w:vAlign w:val="center"/>
          </w:tcPr>
          <w:p>
            <w:pPr>
              <w:rPr>
                <w:rFonts w:hint="eastAsia" w:ascii="仿宋" w:hAnsi="仿宋" w:eastAsia="仿宋" w:cs="仿宋"/>
                <w:b/>
                <w:color w:val="auto"/>
                <w:szCs w:val="21"/>
                <w:highlight w:val="none"/>
                <w:lang w:eastAsia="zh-CN"/>
              </w:rPr>
            </w:pPr>
            <w:r>
              <w:rPr>
                <w:rFonts w:hint="eastAsia" w:ascii="仿宋" w:hAnsi="仿宋" w:eastAsia="仿宋" w:cs="仿宋"/>
                <w:color w:val="auto"/>
                <w:kern w:val="0"/>
                <w:sz w:val="20"/>
                <w:szCs w:val="21"/>
                <w:highlight w:val="none"/>
                <w:lang w:eastAsia="zh-CN"/>
              </w:rPr>
              <w:t>投标函</w:t>
            </w:r>
          </w:p>
        </w:tc>
        <w:tc>
          <w:tcPr>
            <w:tcW w:w="3036"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1.按给定格式填写</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w:t>
            </w:r>
            <w:r>
              <w:rPr>
                <w:rFonts w:hint="eastAsia" w:ascii="仿宋" w:hAnsi="仿宋" w:eastAsia="仿宋" w:cs="仿宋"/>
                <w:color w:val="auto"/>
                <w:szCs w:val="21"/>
                <w:highlight w:val="none"/>
                <w:lang w:val="en-US" w:eastAsia="zh-CN"/>
              </w:rPr>
              <w:t>招标文件</w:t>
            </w:r>
            <w:r>
              <w:rPr>
                <w:rFonts w:hint="eastAsia" w:ascii="仿宋" w:hAnsi="仿宋" w:eastAsia="仿宋" w:cs="仿宋"/>
                <w:color w:val="auto"/>
                <w:szCs w:val="21"/>
                <w:highlight w:val="none"/>
              </w:rPr>
              <w:t>实质性要求</w:t>
            </w:r>
          </w:p>
          <w:p>
            <w:pPr>
              <w:pStyle w:val="3"/>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3.按规定签章</w:t>
            </w: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2</w:t>
            </w:r>
          </w:p>
        </w:tc>
        <w:tc>
          <w:tcPr>
            <w:tcW w:w="2502" w:type="dxa"/>
            <w:noWrap w:val="0"/>
            <w:vAlign w:val="center"/>
          </w:tcPr>
          <w:p>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eastAsia="zh-CN"/>
              </w:rPr>
              <w:t>投标报价</w:t>
            </w:r>
          </w:p>
        </w:tc>
        <w:tc>
          <w:tcPr>
            <w:tcW w:w="3036" w:type="dxa"/>
            <w:noWrap w:val="0"/>
            <w:vAlign w:val="center"/>
          </w:tcPr>
          <w:p>
            <w:pPr>
              <w:pStyle w:val="3"/>
              <w:adjustRightInd w:val="0"/>
              <w:snapToGrid w:val="0"/>
              <w:spacing w:before="0" w:after="0" w:line="240" w:lineRule="auto"/>
              <w:rPr>
                <w:rFonts w:hint="eastAsia" w:ascii="仿宋" w:hAnsi="仿宋" w:eastAsia="仿宋" w:cs="仿宋"/>
                <w:b w:val="0"/>
                <w:color w:val="auto"/>
                <w:kern w:val="2"/>
                <w:sz w:val="32"/>
                <w:szCs w:val="21"/>
                <w:highlight w:val="none"/>
                <w:lang w:val="en-US" w:eastAsia="zh-CN" w:bidi="ar-SA"/>
              </w:rPr>
            </w:pPr>
            <w:r>
              <w:rPr>
                <w:rFonts w:hint="eastAsia" w:ascii="仿宋" w:hAnsi="仿宋" w:eastAsia="仿宋" w:cs="仿宋"/>
                <w:b w:val="0"/>
                <w:color w:val="auto"/>
                <w:sz w:val="21"/>
                <w:szCs w:val="21"/>
                <w:highlight w:val="none"/>
                <w:lang w:val="en-US" w:eastAsia="zh-CN"/>
              </w:rPr>
              <w:t>只能有一个报价且有效（没有超过最高限价）</w:t>
            </w: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3</w:t>
            </w:r>
          </w:p>
        </w:tc>
        <w:tc>
          <w:tcPr>
            <w:tcW w:w="2502" w:type="dxa"/>
            <w:noWrap w:val="0"/>
            <w:vAlign w:val="center"/>
          </w:tcPr>
          <w:p>
            <w:pP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color w:val="auto"/>
                <w:kern w:val="0"/>
                <w:szCs w:val="21"/>
                <w:highlight w:val="none"/>
              </w:rPr>
              <w:t>报价一览表</w:t>
            </w:r>
          </w:p>
        </w:tc>
        <w:tc>
          <w:tcPr>
            <w:tcW w:w="3036"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1.按给定格式填写</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w:t>
            </w:r>
            <w:r>
              <w:rPr>
                <w:rFonts w:hint="eastAsia" w:ascii="仿宋" w:hAnsi="仿宋" w:eastAsia="仿宋" w:cs="仿宋"/>
                <w:color w:val="auto"/>
                <w:szCs w:val="21"/>
                <w:highlight w:val="none"/>
                <w:lang w:val="en-US" w:eastAsia="zh-CN"/>
              </w:rPr>
              <w:t>招标文件</w:t>
            </w:r>
            <w:r>
              <w:rPr>
                <w:rFonts w:hint="eastAsia" w:ascii="仿宋" w:hAnsi="仿宋" w:eastAsia="仿宋" w:cs="仿宋"/>
                <w:color w:val="auto"/>
                <w:szCs w:val="21"/>
                <w:highlight w:val="none"/>
              </w:rPr>
              <w:t>实质性要求</w:t>
            </w:r>
          </w:p>
          <w:p>
            <w:pPr>
              <w:pStyle w:val="3"/>
              <w:adjustRightInd w:val="0"/>
              <w:snapToGrid w:val="0"/>
              <w:spacing w:before="0" w:after="0" w:line="240" w:lineRule="auto"/>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sz w:val="21"/>
                <w:szCs w:val="21"/>
                <w:highlight w:val="none"/>
              </w:rPr>
              <w:t>3.按规定签章</w:t>
            </w: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4</w:t>
            </w:r>
          </w:p>
        </w:tc>
        <w:tc>
          <w:tcPr>
            <w:tcW w:w="2502"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交货期</w:t>
            </w:r>
          </w:p>
        </w:tc>
        <w:tc>
          <w:tcPr>
            <w:tcW w:w="3036" w:type="dxa"/>
            <w:noWrap w:val="0"/>
            <w:vAlign w:val="top"/>
          </w:tcPr>
          <w:p>
            <w:pPr>
              <w:pStyle w:val="3"/>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满足招标文件要求</w:t>
            </w: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2502" w:type="dxa"/>
            <w:noWrap w:val="0"/>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w:t>
            </w:r>
          </w:p>
        </w:tc>
        <w:tc>
          <w:tcPr>
            <w:tcW w:w="3036" w:type="dxa"/>
            <w:noWrap w:val="0"/>
            <w:vAlign w:val="center"/>
          </w:tcPr>
          <w:p>
            <w:pPr>
              <w:pStyle w:val="3"/>
              <w:adjustRightInd w:val="0"/>
              <w:snapToGrid w:val="0"/>
              <w:spacing w:before="0" w:after="0" w:line="240" w:lineRule="auto"/>
              <w:rPr>
                <w:rFonts w:hint="eastAsia" w:ascii="仿宋" w:hAnsi="仿宋" w:eastAsia="仿宋" w:cs="仿宋"/>
                <w:b w:val="0"/>
                <w:color w:val="auto"/>
                <w:szCs w:val="21"/>
                <w:highlight w:val="none"/>
                <w:lang w:val="en-US" w:eastAsia="zh-CN"/>
              </w:rPr>
            </w:pPr>
            <w:r>
              <w:rPr>
                <w:rFonts w:hint="eastAsia" w:ascii="仿宋" w:hAnsi="仿宋" w:eastAsia="仿宋" w:cs="仿宋"/>
                <w:b w:val="0"/>
                <w:color w:val="auto"/>
                <w:sz w:val="21"/>
                <w:szCs w:val="21"/>
                <w:highlight w:val="none"/>
                <w:lang w:val="en-US" w:eastAsia="zh-CN"/>
              </w:rPr>
              <w:t>无法律法规及招标文件规定的其他废标内容</w:t>
            </w: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noWrap w:val="0"/>
            <w:vAlign w:val="center"/>
          </w:tcPr>
          <w:p>
            <w:pPr>
              <w:snapToGrid w:val="0"/>
              <w:jc w:val="center"/>
              <w:rPr>
                <w:rFonts w:hint="eastAsia" w:ascii="仿宋" w:hAnsi="仿宋" w:eastAsia="仿宋" w:cs="仿宋"/>
                <w:color w:val="auto"/>
                <w:szCs w:val="21"/>
                <w:highlight w:val="none"/>
              </w:rPr>
            </w:pPr>
          </w:p>
        </w:tc>
        <w:tc>
          <w:tcPr>
            <w:tcW w:w="2502" w:type="dxa"/>
            <w:noWrap w:val="0"/>
            <w:vAlign w:val="center"/>
          </w:tcPr>
          <w:p>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结论</w:t>
            </w:r>
          </w:p>
        </w:tc>
        <w:tc>
          <w:tcPr>
            <w:tcW w:w="3036"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3"/>
              <w:adjustRightInd w:val="0"/>
              <w:snapToGrid w:val="0"/>
              <w:spacing w:before="0" w:after="0" w:line="240" w:lineRule="auto"/>
              <w:jc w:val="center"/>
              <w:rPr>
                <w:rFonts w:hint="eastAsia" w:ascii="仿宋" w:hAnsi="仿宋" w:eastAsia="仿宋" w:cs="仿宋"/>
                <w:color w:val="auto"/>
                <w:sz w:val="21"/>
                <w:szCs w:val="21"/>
                <w:highlight w:val="none"/>
              </w:rPr>
            </w:pPr>
          </w:p>
        </w:tc>
      </w:tr>
    </w:tbl>
    <w:p>
      <w:pPr>
        <w:ind w:firstLine="420" w:firstLineChars="200"/>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评审小组成员</w:t>
      </w:r>
      <w:r>
        <w:rPr>
          <w:rFonts w:hint="eastAsia" w:ascii="仿宋" w:hAnsi="仿宋" w:eastAsia="仿宋" w:cs="仿宋"/>
          <w:color w:val="auto"/>
          <w:highlight w:val="none"/>
        </w:rPr>
        <w:t xml:space="preserve">签字：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日      期： </w:t>
      </w:r>
      <w:r>
        <w:rPr>
          <w:rFonts w:hint="eastAsia" w:ascii="仿宋" w:hAnsi="仿宋" w:eastAsia="仿宋" w:cs="仿宋"/>
          <w:color w:val="auto"/>
          <w:szCs w:val="21"/>
          <w:highlight w:val="none"/>
        </w:rPr>
        <w:br w:type="page"/>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adjustRightInd w:val="0"/>
        <w:snapToGrid w:val="0"/>
        <w:spacing w:before="319" w:beforeLines="100" w:after="319" w:afterLines="100" w:line="360" w:lineRule="auto"/>
        <w:jc w:val="center"/>
        <w:rPr>
          <w:rFonts w:hint="eastAsia" w:ascii="仿宋" w:hAnsi="仿宋" w:eastAsia="仿宋" w:cs="仿宋"/>
          <w:color w:val="auto"/>
          <w:highlight w:val="none"/>
        </w:rPr>
      </w:pPr>
      <w:bookmarkStart w:id="14" w:name="_Toc15602"/>
      <w:bookmarkStart w:id="15" w:name="_Toc7909"/>
      <w:bookmarkStart w:id="16" w:name="_Toc19210_WPSOffice_Level1"/>
      <w:r>
        <w:rPr>
          <w:rFonts w:hint="eastAsia" w:ascii="仿宋" w:hAnsi="仿宋" w:eastAsia="仿宋" w:cs="仿宋"/>
          <w:color w:val="auto"/>
          <w:highlight w:val="none"/>
        </w:rPr>
        <w:t>第五章 合同格式</w:t>
      </w:r>
      <w:bookmarkEnd w:id="14"/>
      <w:bookmarkEnd w:id="15"/>
      <w:bookmarkEnd w:id="16"/>
    </w:p>
    <w:p>
      <w:pPr>
        <w:wordWrap w:val="0"/>
        <w:adjustRightInd w:val="0"/>
        <w:snapToGrid w:val="0"/>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3"/>
        <w:adjustRightInd w:val="0"/>
        <w:snapToGrid w:val="0"/>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before="319" w:beforeLines="100" w:after="319" w:afterLines="100" w:line="480" w:lineRule="exact"/>
        <w:jc w:val="center"/>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z w:val="36"/>
          <w:szCs w:val="36"/>
          <w:highlight w:val="none"/>
          <w:u w:val="single"/>
          <w:lang w:eastAsia="zh-CN"/>
        </w:rPr>
        <w:t>肇庆</w:t>
      </w:r>
      <w:r>
        <w:rPr>
          <w:rFonts w:hint="eastAsia" w:ascii="仿宋" w:hAnsi="仿宋" w:eastAsia="仿宋" w:cs="仿宋"/>
          <w:b/>
          <w:color w:val="auto"/>
          <w:sz w:val="36"/>
          <w:szCs w:val="36"/>
          <w:highlight w:val="none"/>
          <w:u w:val="single"/>
          <w:lang w:val="en-US" w:eastAsia="zh-CN"/>
        </w:rPr>
        <w:t>交投孔湾港务</w:t>
      </w:r>
      <w:r>
        <w:rPr>
          <w:rFonts w:hint="eastAsia" w:ascii="仿宋" w:hAnsi="仿宋" w:eastAsia="仿宋" w:cs="仿宋"/>
          <w:b/>
          <w:color w:val="auto"/>
          <w:sz w:val="36"/>
          <w:szCs w:val="36"/>
          <w:highlight w:val="none"/>
          <w:u w:val="single"/>
          <w:lang w:eastAsia="zh-CN"/>
        </w:rPr>
        <w:t>有限公司</w:t>
      </w:r>
      <w:r>
        <w:rPr>
          <w:rFonts w:hint="eastAsia" w:ascii="仿宋" w:hAnsi="仿宋" w:eastAsia="仿宋" w:cs="仿宋"/>
          <w:b/>
          <w:color w:val="auto"/>
          <w:sz w:val="36"/>
          <w:szCs w:val="36"/>
          <w:highlight w:val="none"/>
          <w:u w:val="single"/>
          <w:lang w:val="en-US" w:eastAsia="zh-CN"/>
        </w:rPr>
        <w:t>办公点</w:t>
      </w:r>
    </w:p>
    <w:p>
      <w:pPr>
        <w:spacing w:before="319" w:beforeLines="100" w:after="319" w:afterLines="100" w:line="48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u w:val="single"/>
          <w:lang w:val="en-US" w:eastAsia="zh-CN"/>
        </w:rPr>
        <w:t>家具采购项目</w:t>
      </w:r>
      <w:r>
        <w:rPr>
          <w:rFonts w:hint="eastAsia" w:ascii="仿宋" w:hAnsi="仿宋" w:eastAsia="仿宋" w:cs="仿宋"/>
          <w:b/>
          <w:color w:val="auto"/>
          <w:sz w:val="36"/>
          <w:szCs w:val="36"/>
          <w:highlight w:val="none"/>
        </w:rPr>
        <w:t>合同</w:t>
      </w:r>
    </w:p>
    <w:p>
      <w:pPr>
        <w:pStyle w:val="14"/>
        <w:shd w:val="clear" w:color="auto" w:fill="FFFFFF"/>
        <w:spacing w:before="75" w:beforeAutospacing="0" w:after="0" w:afterAutospacing="0" w:line="340" w:lineRule="exact"/>
        <w:rPr>
          <w:rFonts w:hint="eastAsia"/>
          <w:color w:val="000000"/>
          <w:spacing w:val="15"/>
          <w:sz w:val="24"/>
          <w:szCs w:val="24"/>
        </w:rPr>
      </w:pPr>
    </w:p>
    <w:p>
      <w:pPr>
        <w:pStyle w:val="14"/>
        <w:shd w:val="clear" w:color="auto" w:fill="FFFFFF"/>
        <w:spacing w:before="75" w:beforeAutospacing="0" w:after="0" w:afterAutospacing="0" w:line="340" w:lineRule="exact"/>
        <w:rPr>
          <w:rFonts w:hint="eastAsia"/>
          <w:color w:val="FF0000"/>
          <w:spacing w:val="15"/>
          <w:sz w:val="24"/>
          <w:szCs w:val="24"/>
          <w:lang w:val="en-US" w:eastAsia="zh-CN"/>
        </w:rPr>
      </w:pPr>
      <w:r>
        <w:rPr>
          <w:rFonts w:hint="eastAsia"/>
          <w:color w:val="000000"/>
          <w:spacing w:val="15"/>
          <w:sz w:val="24"/>
          <w:szCs w:val="24"/>
        </w:rPr>
        <w:t>采购方（甲方）：</w:t>
      </w:r>
    </w:p>
    <w:p>
      <w:pPr>
        <w:pStyle w:val="14"/>
        <w:shd w:val="clear" w:color="auto" w:fill="FFFFFF"/>
        <w:spacing w:before="75" w:beforeAutospacing="0" w:after="0" w:afterAutospacing="0" w:line="340" w:lineRule="exact"/>
        <w:rPr>
          <w:rFonts w:hint="eastAsia"/>
          <w:color w:val="000000"/>
          <w:spacing w:val="15"/>
          <w:sz w:val="24"/>
          <w:szCs w:val="24"/>
        </w:rPr>
      </w:pPr>
    </w:p>
    <w:p>
      <w:pPr>
        <w:pStyle w:val="14"/>
        <w:shd w:val="clear" w:color="auto" w:fill="FFFFFF"/>
        <w:spacing w:before="75" w:beforeAutospacing="0" w:after="0" w:afterAutospacing="0" w:line="340" w:lineRule="exact"/>
        <w:rPr>
          <w:b/>
          <w:spacing w:val="15"/>
          <w:sz w:val="24"/>
          <w:szCs w:val="24"/>
        </w:rPr>
      </w:pPr>
      <w:r>
        <w:rPr>
          <w:rFonts w:hint="eastAsia"/>
          <w:color w:val="000000"/>
          <w:spacing w:val="15"/>
          <w:sz w:val="24"/>
          <w:szCs w:val="24"/>
        </w:rPr>
        <w:t>销售方（乙方）：</w:t>
      </w:r>
    </w:p>
    <w:p>
      <w:pPr>
        <w:pStyle w:val="14"/>
        <w:shd w:val="clear" w:color="auto" w:fill="FFFFFF"/>
        <w:spacing w:before="75" w:beforeAutospacing="0" w:after="0" w:afterAutospacing="0" w:line="340" w:lineRule="exact"/>
        <w:ind w:firstLine="405" w:firstLineChars="150"/>
        <w:rPr>
          <w:rFonts w:hint="eastAsia"/>
          <w:color w:val="000000"/>
          <w:spacing w:val="15"/>
          <w:sz w:val="24"/>
          <w:szCs w:val="24"/>
          <w:lang w:val="en-US" w:eastAsia="zh-CN"/>
        </w:rPr>
      </w:pPr>
    </w:p>
    <w:p>
      <w:pPr>
        <w:pStyle w:val="14"/>
        <w:shd w:val="clear" w:color="auto" w:fill="FFFFFF"/>
        <w:spacing w:before="75" w:beforeAutospacing="0" w:after="0" w:afterAutospacing="0" w:line="340" w:lineRule="exact"/>
        <w:ind w:firstLine="405" w:firstLineChars="150"/>
        <w:rPr>
          <w:color w:val="000000"/>
          <w:spacing w:val="15"/>
          <w:sz w:val="24"/>
          <w:szCs w:val="24"/>
        </w:rPr>
      </w:pPr>
      <w:r>
        <w:rPr>
          <w:rFonts w:hint="eastAsia"/>
          <w:color w:val="000000"/>
          <w:spacing w:val="15"/>
          <w:sz w:val="24"/>
          <w:szCs w:val="24"/>
          <w:lang w:val="en-US" w:eastAsia="zh-CN"/>
        </w:rPr>
        <w:t>根据</w:t>
      </w:r>
      <w:r>
        <w:rPr>
          <w:rFonts w:hint="eastAsia"/>
          <w:color w:val="000000"/>
          <w:spacing w:val="15"/>
          <w:sz w:val="24"/>
          <w:szCs w:val="24"/>
        </w:rPr>
        <w:t>《中华人民共和国</w:t>
      </w:r>
      <w:r>
        <w:rPr>
          <w:rFonts w:hint="eastAsia"/>
          <w:color w:val="000000"/>
          <w:spacing w:val="15"/>
          <w:sz w:val="24"/>
          <w:szCs w:val="24"/>
          <w:lang w:val="en-US" w:eastAsia="zh-CN"/>
        </w:rPr>
        <w:t>民法典</w:t>
      </w:r>
      <w:r>
        <w:rPr>
          <w:rFonts w:hint="eastAsia"/>
          <w:color w:val="000000"/>
          <w:spacing w:val="15"/>
          <w:sz w:val="24"/>
          <w:szCs w:val="24"/>
        </w:rPr>
        <w:t>》以及有关规定，结合本</w:t>
      </w:r>
      <w:r>
        <w:rPr>
          <w:rFonts w:hint="eastAsia"/>
          <w:color w:val="000000"/>
          <w:spacing w:val="15"/>
          <w:sz w:val="24"/>
          <w:szCs w:val="24"/>
          <w:lang w:val="en-US" w:eastAsia="zh-CN"/>
        </w:rPr>
        <w:t>公司</w:t>
      </w:r>
      <w:r>
        <w:rPr>
          <w:rFonts w:hint="eastAsia"/>
          <w:color w:val="000000"/>
          <w:spacing w:val="15"/>
          <w:sz w:val="24"/>
          <w:szCs w:val="24"/>
        </w:rPr>
        <w:t>的具体情况，本着平等互利和诚实信用的原则，经双方协商一致，签订本合同，以资共同遵守</w:t>
      </w:r>
      <w:r>
        <w:rPr>
          <w:rFonts w:hint="eastAsia"/>
          <w:color w:val="000000"/>
          <w:spacing w:val="15"/>
          <w:sz w:val="24"/>
          <w:szCs w:val="24"/>
          <w:lang w:eastAsia="zh-CN"/>
        </w:rPr>
        <w:t>：</w:t>
      </w:r>
    </w:p>
    <w:p>
      <w:pPr>
        <w:pStyle w:val="14"/>
        <w:shd w:val="clear" w:color="auto" w:fill="FFFFFF"/>
        <w:spacing w:before="75" w:beforeAutospacing="0" w:after="0" w:afterAutospacing="0" w:line="340" w:lineRule="exact"/>
        <w:ind w:firstLine="542" w:firstLineChars="200"/>
        <w:rPr>
          <w:b/>
          <w:bCs/>
          <w:color w:val="000000"/>
          <w:spacing w:val="15"/>
          <w:sz w:val="21"/>
          <w:szCs w:val="21"/>
        </w:rPr>
      </w:pPr>
      <w:r>
        <w:rPr>
          <w:rFonts w:hint="eastAsia"/>
          <w:b/>
          <w:bCs/>
          <w:color w:val="000000"/>
          <w:spacing w:val="15"/>
          <w:sz w:val="24"/>
          <w:szCs w:val="24"/>
        </w:rPr>
        <w:t>第一条</w:t>
      </w:r>
      <w:r>
        <w:rPr>
          <w:rFonts w:hint="eastAsia"/>
          <w:b/>
          <w:bCs/>
          <w:color w:val="000000"/>
          <w:spacing w:val="15"/>
          <w:sz w:val="24"/>
          <w:szCs w:val="24"/>
          <w:lang w:val="en-US" w:eastAsia="zh-CN"/>
        </w:rPr>
        <w:t xml:space="preserve"> </w:t>
      </w:r>
      <w:r>
        <w:rPr>
          <w:rFonts w:hint="eastAsia"/>
          <w:b/>
          <w:bCs/>
          <w:color w:val="000000"/>
          <w:spacing w:val="15"/>
          <w:sz w:val="24"/>
          <w:szCs w:val="24"/>
        </w:rPr>
        <w:t>采购概况</w:t>
      </w:r>
    </w:p>
    <w:p>
      <w:pPr>
        <w:spacing w:line="340" w:lineRule="exact"/>
        <w:ind w:firstLine="54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pacing w:val="15"/>
          <w:sz w:val="24"/>
          <w:szCs w:val="24"/>
        </w:rPr>
        <w:t>1.采购方名称：</w:t>
      </w:r>
    </w:p>
    <w:p>
      <w:pPr>
        <w:pStyle w:val="14"/>
        <w:shd w:val="clear" w:color="auto" w:fill="FFFFFF"/>
        <w:spacing w:before="75" w:beforeAutospacing="0" w:after="0" w:afterAutospacing="0" w:line="320" w:lineRule="exact"/>
        <w:ind w:firstLine="540" w:firstLineChars="200"/>
        <w:rPr>
          <w:rFonts w:hint="eastAsia" w:asciiTheme="minorEastAsia" w:hAnsiTheme="minorEastAsia" w:eastAsiaTheme="minorEastAsia" w:cstheme="minorEastAsia"/>
          <w:spacing w:val="15"/>
          <w:sz w:val="24"/>
          <w:szCs w:val="24"/>
          <w:lang w:val="en-US"/>
        </w:rPr>
      </w:pPr>
      <w:r>
        <w:rPr>
          <w:rFonts w:hint="eastAsia" w:asciiTheme="minorEastAsia" w:hAnsiTheme="minorEastAsia" w:eastAsiaTheme="minorEastAsia" w:cstheme="minorEastAsia"/>
          <w:color w:val="000000"/>
          <w:spacing w:val="15"/>
          <w:sz w:val="24"/>
          <w:szCs w:val="24"/>
        </w:rPr>
        <w:t>2.购置名</w:t>
      </w:r>
      <w:r>
        <w:rPr>
          <w:rFonts w:hint="eastAsia" w:asciiTheme="minorEastAsia" w:hAnsiTheme="minorEastAsia" w:eastAsiaTheme="minorEastAsia" w:cstheme="minorEastAsia"/>
          <w:spacing w:val="15"/>
          <w:sz w:val="24"/>
          <w:szCs w:val="24"/>
        </w:rPr>
        <w:t>称：</w:t>
      </w:r>
      <w:r>
        <w:rPr>
          <w:rFonts w:hint="eastAsia" w:asciiTheme="minorEastAsia" w:hAnsiTheme="minorEastAsia" w:eastAsiaTheme="minorEastAsia" w:cstheme="minorEastAsia"/>
          <w:b/>
          <w:spacing w:val="15"/>
          <w:sz w:val="24"/>
          <w:szCs w:val="24"/>
          <w:lang w:val="en-US" w:eastAsia="zh-CN"/>
        </w:rPr>
        <w:t xml:space="preserve">办公家具 </w:t>
      </w:r>
    </w:p>
    <w:p>
      <w:pPr>
        <w:pStyle w:val="14"/>
        <w:numPr>
          <w:ilvl w:val="-1"/>
          <w:numId w:val="0"/>
        </w:numPr>
        <w:shd w:val="clear" w:color="auto" w:fill="FFFFFF"/>
        <w:spacing w:before="75" w:beforeAutospacing="0" w:after="0" w:afterAutospacing="0" w:line="340" w:lineRule="exact"/>
        <w:ind w:left="0" w:firstLine="542" w:firstLineChars="200"/>
        <w:rPr>
          <w:rFonts w:hint="eastAsia" w:asciiTheme="minorEastAsia" w:hAnsiTheme="minorEastAsia" w:eastAsiaTheme="minorEastAsia" w:cstheme="minorEastAsia"/>
          <w:color w:val="000000"/>
          <w:spacing w:val="15"/>
          <w:sz w:val="24"/>
          <w:szCs w:val="24"/>
        </w:rPr>
      </w:pPr>
      <w:r>
        <w:rPr>
          <w:rFonts w:hint="eastAsia" w:asciiTheme="minorEastAsia" w:hAnsiTheme="minorEastAsia" w:eastAsiaTheme="minorEastAsia" w:cstheme="minorEastAsia"/>
          <w:b/>
          <w:bCs/>
          <w:color w:val="000000"/>
          <w:spacing w:val="15"/>
          <w:sz w:val="24"/>
          <w:szCs w:val="24"/>
          <w:lang w:val="en-US" w:eastAsia="zh-CN"/>
        </w:rPr>
        <w:t>3.</w:t>
      </w:r>
      <w:r>
        <w:rPr>
          <w:rFonts w:hint="eastAsia" w:asciiTheme="minorEastAsia" w:hAnsiTheme="minorEastAsia" w:eastAsiaTheme="minorEastAsia" w:cstheme="minorEastAsia"/>
          <w:color w:val="000000"/>
          <w:spacing w:val="15"/>
          <w:sz w:val="24"/>
          <w:szCs w:val="24"/>
        </w:rPr>
        <w:t>商品清单：</w:t>
      </w:r>
    </w:p>
    <w:tbl>
      <w:tblPr>
        <w:tblStyle w:val="16"/>
        <w:tblpPr w:leftFromText="180" w:rightFromText="180" w:vertAnchor="text" w:horzAnchor="page" w:tblpXSpec="center" w:tblpY="621"/>
        <w:tblOverlap w:val="never"/>
        <w:tblW w:w="7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1918"/>
        <w:gridCol w:w="1074"/>
        <w:gridCol w:w="1941"/>
        <w:gridCol w:w="626"/>
        <w:gridCol w:w="883"/>
        <w:gridCol w:w="488"/>
        <w:gridCol w:w="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类别</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规格</w:t>
            </w: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材质</w:t>
            </w: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单价</w:t>
            </w: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大办公台</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总经办公椅</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2人沙发</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屏风办公台</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办公椅</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3人沙发加茶几</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打印机工作台</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玻璃文件柜</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会议台</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会议椅</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茶水柜</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p>
        </w:tc>
        <w:tc>
          <w:tcPr>
            <w:tcW w:w="30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备选茶几、桌椅、文件柜等</w:t>
            </w: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税金  %</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合计（含税）</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1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59"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sz w:val="20"/>
                <w:szCs w:val="20"/>
                <w:highlight w:val="none"/>
                <w:vertAlign w:val="baseline"/>
                <w:lang w:val="en-US" w:eastAsia="zh-CN"/>
              </w:rPr>
              <w:t>本表总价中已包含完成本标包全部工作内容的人工费、安装费、运输费、税费等一切与之相关的费用。</w:t>
            </w:r>
          </w:p>
        </w:tc>
      </w:tr>
    </w:tbl>
    <w:p>
      <w:pPr>
        <w:pStyle w:val="14"/>
        <w:shd w:val="clear" w:color="auto" w:fill="FFFFFF"/>
        <w:spacing w:before="75" w:beforeAutospacing="0" w:after="0" w:afterAutospacing="0" w:line="320" w:lineRule="exact"/>
        <w:rPr>
          <w:rFonts w:hint="eastAsia"/>
          <w:b/>
          <w:bCs/>
          <w:color w:val="000000"/>
          <w:spacing w:val="15"/>
          <w:sz w:val="18"/>
          <w:szCs w:val="18"/>
          <w:lang w:eastAsia="zh-CN"/>
        </w:rPr>
      </w:pPr>
    </w:p>
    <w:p>
      <w:pPr>
        <w:pStyle w:val="14"/>
        <w:shd w:val="clear" w:color="auto" w:fill="FFFFFF"/>
        <w:spacing w:before="75" w:beforeAutospacing="0" w:after="0" w:afterAutospacing="0" w:line="320" w:lineRule="exact"/>
        <w:jc w:val="center"/>
        <w:rPr>
          <w:rFonts w:hint="eastAsia" w:eastAsiaTheme="minorEastAsia"/>
          <w:b/>
          <w:bCs/>
          <w:color w:val="000000"/>
          <w:spacing w:val="15"/>
          <w:sz w:val="18"/>
          <w:szCs w:val="18"/>
          <w:lang w:eastAsia="zh-CN"/>
        </w:rPr>
      </w:pPr>
      <w:r>
        <w:rPr>
          <w:rFonts w:hint="eastAsia"/>
          <w:b/>
          <w:bCs/>
          <w:color w:val="000000"/>
          <w:spacing w:val="15"/>
          <w:sz w:val="18"/>
          <w:szCs w:val="18"/>
          <w:lang w:eastAsia="zh-CN"/>
        </w:rPr>
        <w:t>（</w:t>
      </w:r>
      <w:r>
        <w:rPr>
          <w:rFonts w:hint="eastAsia"/>
          <w:b/>
          <w:bCs/>
          <w:color w:val="000000"/>
          <w:spacing w:val="15"/>
          <w:sz w:val="18"/>
          <w:szCs w:val="18"/>
          <w:lang w:val="en-US" w:eastAsia="zh-CN"/>
        </w:rPr>
        <w:t>注：最终以双方签字确认的交货清单结算，表中价格单位均为人民币元</w:t>
      </w:r>
      <w:r>
        <w:rPr>
          <w:rFonts w:hint="eastAsia"/>
          <w:b/>
          <w:bCs/>
          <w:color w:val="000000"/>
          <w:spacing w:val="15"/>
          <w:sz w:val="18"/>
          <w:szCs w:val="18"/>
          <w:lang w:eastAsia="zh-CN"/>
        </w:rPr>
        <w:t>）</w:t>
      </w:r>
    </w:p>
    <w:p>
      <w:pPr>
        <w:pStyle w:val="14"/>
        <w:numPr>
          <w:ilvl w:val="-1"/>
          <w:numId w:val="0"/>
        </w:numPr>
        <w:shd w:val="clear" w:color="auto" w:fill="FFFFFF"/>
        <w:spacing w:before="75" w:beforeAutospacing="0" w:after="0" w:afterAutospacing="0" w:line="340" w:lineRule="exact"/>
        <w:ind w:left="0" w:firstLine="542" w:firstLineChars="200"/>
        <w:rPr>
          <w:rFonts w:hint="eastAsia"/>
          <w:b/>
          <w:bCs/>
          <w:color w:val="000000"/>
          <w:spacing w:val="15"/>
          <w:sz w:val="24"/>
          <w:szCs w:val="24"/>
        </w:rPr>
      </w:pPr>
      <w:r>
        <w:rPr>
          <w:rFonts w:hint="eastAsia"/>
          <w:b/>
          <w:bCs/>
          <w:color w:val="000000"/>
          <w:spacing w:val="15"/>
          <w:sz w:val="24"/>
          <w:szCs w:val="24"/>
          <w:lang w:val="en-US" w:eastAsia="zh-CN"/>
        </w:rPr>
        <w:t xml:space="preserve">第二条 </w:t>
      </w:r>
      <w:r>
        <w:rPr>
          <w:rFonts w:hint="eastAsia"/>
          <w:b/>
          <w:bCs/>
          <w:color w:val="000000"/>
          <w:spacing w:val="15"/>
          <w:sz w:val="24"/>
          <w:szCs w:val="24"/>
        </w:rPr>
        <w:t>采购价格</w:t>
      </w:r>
    </w:p>
    <w:p>
      <w:pPr>
        <w:pStyle w:val="14"/>
        <w:numPr>
          <w:ilvl w:val="-1"/>
          <w:numId w:val="0"/>
        </w:numPr>
        <w:shd w:val="clear" w:color="auto" w:fill="FFFFFF"/>
        <w:spacing w:before="75" w:beforeAutospacing="0" w:after="0" w:afterAutospacing="0" w:line="320" w:lineRule="exact"/>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本合同办公家具的采购价格为大写：      （小写：     元）含税总额，该价格为包含家具款、运输、安装、保修等为完成协议所需的一切费用，除此之外，甲方不再向乙方支付其他任何费用）。</w:t>
      </w:r>
    </w:p>
    <w:p>
      <w:pPr>
        <w:pStyle w:val="14"/>
        <w:shd w:val="clear" w:color="auto" w:fill="FFFFFF"/>
        <w:spacing w:before="75" w:beforeAutospacing="0" w:after="0" w:afterAutospacing="0" w:line="340" w:lineRule="exact"/>
        <w:ind w:firstLine="542" w:firstLineChars="200"/>
        <w:rPr>
          <w:rFonts w:hint="eastAsia"/>
          <w:b/>
          <w:bCs/>
          <w:color w:val="000000"/>
          <w:spacing w:val="15"/>
          <w:sz w:val="24"/>
          <w:szCs w:val="24"/>
          <w:lang w:val="en-US" w:eastAsia="zh-CN"/>
        </w:rPr>
      </w:pPr>
      <w:r>
        <w:rPr>
          <w:rFonts w:hint="eastAsia"/>
          <w:b/>
          <w:bCs/>
          <w:color w:val="000000"/>
          <w:spacing w:val="15"/>
          <w:sz w:val="24"/>
          <w:szCs w:val="24"/>
          <w:lang w:val="en-US" w:eastAsia="zh-CN"/>
        </w:rPr>
        <w:t>第三条 付款方式</w:t>
      </w:r>
    </w:p>
    <w:p>
      <w:pPr>
        <w:pStyle w:val="14"/>
        <w:numPr>
          <w:ilvl w:val="0"/>
          <w:numId w:val="0"/>
        </w:numPr>
        <w:shd w:val="clear" w:color="auto" w:fill="FFFFFF"/>
        <w:spacing w:before="75" w:beforeAutospacing="0" w:after="0" w:afterAutospacing="0" w:line="340" w:lineRule="exact"/>
        <w:ind w:firstLine="480" w:firstLineChars="200"/>
        <w:rPr>
          <w:rFonts w:hint="eastAsia" w:ascii="宋体" w:hAnsi="宋体" w:eastAsia="宋体" w:cs="宋体"/>
          <w:color w:val="auto"/>
          <w:spacing w:val="15"/>
          <w:kern w:val="0"/>
          <w:sz w:val="24"/>
          <w:szCs w:val="24"/>
          <w:shd w:val="clear" w:color="auto" w:fill="auto"/>
          <w:lang w:bidi="ar"/>
        </w:rPr>
      </w:pPr>
      <w:r>
        <w:rPr>
          <w:rFonts w:hint="eastAsia" w:ascii="仿宋" w:hAnsi="仿宋" w:eastAsia="仿宋" w:cs="仿宋"/>
          <w:color w:val="auto"/>
          <w:kern w:val="2"/>
          <w:sz w:val="24"/>
          <w:szCs w:val="24"/>
          <w:highlight w:val="none"/>
          <w:lang w:val="en-US" w:eastAsia="zh-CN" w:bidi="ar-SA"/>
        </w:rPr>
        <w:t>本合同采购的办公家具安装经甲方验收合格后，由乙方开具合法有效等额的增值税专用发票和书面付款申请，甲方根据请款资料在20个工作日内一次性转帐支付本合同办公家具采购及安装费用。否则甲方有权顺延支付相应费用而不被视为违约，亦无须承担任何违约责任。</w:t>
      </w:r>
    </w:p>
    <w:p>
      <w:pPr>
        <w:tabs>
          <w:tab w:val="left" w:pos="426"/>
        </w:tabs>
        <w:snapToGrid w:val="0"/>
        <w:spacing w:line="560" w:lineRule="exact"/>
        <w:ind w:left="713" w:leftChars="225" w:hanging="240" w:hangingChars="100"/>
        <w:rPr>
          <w:rFonts w:ascii="宋体"/>
          <w:color w:val="auto"/>
          <w:sz w:val="24"/>
          <w:highlight w:val="none"/>
        </w:rPr>
      </w:pPr>
      <w:r>
        <w:rPr>
          <w:rFonts w:hint="eastAsia" w:ascii="仿宋" w:hAnsi="仿宋" w:eastAsia="仿宋" w:cs="仿宋"/>
          <w:color w:val="auto"/>
          <w:sz w:val="24"/>
          <w:highlight w:val="none"/>
          <w:lang w:val="en-US" w:eastAsia="zh-CN"/>
        </w:rPr>
        <w:t>甲方按合同约定将工程款项转至乙方指定账户信息</w:t>
      </w:r>
      <w:r>
        <w:rPr>
          <w:rFonts w:hint="eastAsia" w:ascii="宋体"/>
          <w:color w:val="auto"/>
          <w:sz w:val="24"/>
          <w:highlight w:val="none"/>
        </w:rPr>
        <w:t>：</w:t>
      </w:r>
    </w:p>
    <w:p>
      <w:pPr>
        <w:tabs>
          <w:tab w:val="left" w:pos="426"/>
        </w:tabs>
        <w:snapToGrid w:val="0"/>
        <w:spacing w:line="560" w:lineRule="exact"/>
        <w:ind w:left="0" w:lef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公司全称：</w:t>
      </w:r>
    </w:p>
    <w:p>
      <w:pPr>
        <w:snapToGrid w:val="0"/>
        <w:spacing w:line="560" w:lineRule="exact"/>
        <w:ind w:left="0" w:leftChars="0"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纳税识别号：</w:t>
      </w:r>
      <w:r>
        <w:rPr>
          <w:rFonts w:hint="eastAsia" w:ascii="仿宋" w:hAnsi="仿宋" w:eastAsia="仿宋" w:cs="仿宋"/>
          <w:b/>
          <w:bCs/>
          <w:color w:val="auto"/>
          <w:sz w:val="24"/>
          <w:szCs w:val="24"/>
          <w:highlight w:val="none"/>
          <w:lang w:val="en-US" w:eastAsia="zh-CN"/>
        </w:rPr>
        <w:t xml:space="preserve"> </w:t>
      </w:r>
    </w:p>
    <w:p>
      <w:pPr>
        <w:tabs>
          <w:tab w:val="left" w:pos="426"/>
        </w:tabs>
        <w:snapToGrid w:val="0"/>
        <w:spacing w:line="56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 户 行：</w:t>
      </w:r>
    </w:p>
    <w:p>
      <w:pPr>
        <w:snapToGrid w:val="0"/>
        <w:spacing w:line="56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开户账号：</w:t>
      </w:r>
      <w:r>
        <w:rPr>
          <w:rFonts w:hint="eastAsia" w:ascii="仿宋" w:hAnsi="仿宋" w:eastAsia="仿宋" w:cs="仿宋"/>
          <w:b/>
          <w:bCs/>
          <w:color w:val="auto"/>
          <w:sz w:val="24"/>
          <w:szCs w:val="24"/>
          <w:highlight w:val="none"/>
          <w:lang w:val="en-US" w:eastAsia="zh-CN"/>
        </w:rPr>
        <w:t xml:space="preserve"> </w:t>
      </w:r>
    </w:p>
    <w:p>
      <w:pPr>
        <w:pStyle w:val="14"/>
        <w:numPr>
          <w:ilvl w:val="0"/>
          <w:numId w:val="0"/>
        </w:numPr>
        <w:shd w:val="clear" w:color="auto" w:fill="FFFFFF"/>
        <w:spacing w:before="75" w:beforeAutospacing="0" w:after="0" w:afterAutospacing="0" w:line="340" w:lineRule="exact"/>
        <w:ind w:firstLine="482" w:firstLineChars="200"/>
        <w:rPr>
          <w:rFonts w:hint="eastAsia" w:ascii="宋体" w:hAnsi="宋体" w:eastAsia="宋体" w:cs="宋体"/>
          <w:color w:val="auto"/>
          <w:spacing w:val="15"/>
          <w:kern w:val="0"/>
          <w:sz w:val="24"/>
          <w:szCs w:val="24"/>
          <w:shd w:val="clear" w:color="auto" w:fill="auto"/>
          <w:lang w:val="en-US" w:eastAsia="zh-CN" w:bidi="ar"/>
        </w:rPr>
      </w:pPr>
      <w:r>
        <w:rPr>
          <w:rFonts w:hint="eastAsia" w:ascii="仿宋" w:hAnsi="仿宋" w:eastAsia="仿宋" w:cs="仿宋"/>
          <w:b/>
          <w:bCs/>
          <w:color w:val="auto"/>
          <w:sz w:val="24"/>
          <w:szCs w:val="24"/>
          <w:highlight w:val="none"/>
        </w:rPr>
        <w:t>公司地址</w:t>
      </w:r>
      <w:r>
        <w:rPr>
          <w:rFonts w:hint="eastAsia" w:ascii="仿宋" w:hAnsi="仿宋" w:eastAsia="仿宋" w:cs="仿宋"/>
          <w:b/>
          <w:bCs/>
          <w:color w:val="auto"/>
          <w:sz w:val="24"/>
          <w:szCs w:val="24"/>
          <w:highlight w:val="none"/>
          <w:lang w:eastAsia="zh-CN"/>
        </w:rPr>
        <w:t>：</w:t>
      </w:r>
    </w:p>
    <w:p>
      <w:pPr>
        <w:pStyle w:val="14"/>
        <w:shd w:val="clear" w:color="auto" w:fill="FFFFFF"/>
        <w:spacing w:before="75" w:beforeAutospacing="0" w:after="0" w:afterAutospacing="0" w:line="340" w:lineRule="exact"/>
        <w:ind w:firstLine="542" w:firstLineChars="200"/>
        <w:rPr>
          <w:rFonts w:hint="eastAsia"/>
          <w:b/>
          <w:bCs/>
          <w:spacing w:val="15"/>
          <w:sz w:val="24"/>
          <w:szCs w:val="24"/>
          <w:lang w:val="en-US" w:eastAsia="zh-CN"/>
        </w:rPr>
      </w:pPr>
      <w:r>
        <w:rPr>
          <w:rFonts w:hint="eastAsia"/>
          <w:b/>
          <w:bCs/>
          <w:spacing w:val="15"/>
          <w:sz w:val="24"/>
          <w:szCs w:val="24"/>
          <w:lang w:val="en-US" w:eastAsia="zh-CN"/>
        </w:rPr>
        <w:t>第四条 交货方式</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乙方在本合同签定后7天内将上述清单中的办公家具送达广东省肇庆市高要区小湘镇湘欣路，并对上述清单中的办公家具进行安装，乙方完成安装后，甲方清点及验收，确认无误并在送货单及验收单上签字确认。</w:t>
      </w:r>
    </w:p>
    <w:p>
      <w:pPr>
        <w:pStyle w:val="14"/>
        <w:shd w:val="clear" w:color="auto" w:fill="FFFFFF"/>
        <w:spacing w:before="75" w:beforeAutospacing="0" w:after="0" w:afterAutospacing="0" w:line="320" w:lineRule="exact"/>
        <w:ind w:firstLine="542" w:firstLineChars="200"/>
        <w:rPr>
          <w:b/>
          <w:bCs/>
          <w:color w:val="000000"/>
          <w:spacing w:val="15"/>
          <w:sz w:val="24"/>
          <w:szCs w:val="24"/>
          <w:highlight w:val="none"/>
        </w:rPr>
      </w:pPr>
      <w:r>
        <w:rPr>
          <w:rFonts w:hint="eastAsia"/>
          <w:b/>
          <w:bCs/>
          <w:color w:val="000000"/>
          <w:spacing w:val="15"/>
          <w:sz w:val="24"/>
          <w:szCs w:val="24"/>
          <w:highlight w:val="none"/>
        </w:rPr>
        <w:t>第</w:t>
      </w:r>
      <w:r>
        <w:rPr>
          <w:rFonts w:hint="eastAsia"/>
          <w:b/>
          <w:bCs/>
          <w:color w:val="000000"/>
          <w:spacing w:val="15"/>
          <w:sz w:val="24"/>
          <w:szCs w:val="24"/>
          <w:highlight w:val="none"/>
          <w:lang w:val="en-US" w:eastAsia="zh-CN"/>
        </w:rPr>
        <w:t>五</w:t>
      </w:r>
      <w:r>
        <w:rPr>
          <w:rFonts w:hint="eastAsia"/>
          <w:b/>
          <w:bCs/>
          <w:color w:val="000000"/>
          <w:spacing w:val="15"/>
          <w:sz w:val="24"/>
          <w:szCs w:val="24"/>
          <w:highlight w:val="none"/>
        </w:rPr>
        <w:t>条</w:t>
      </w:r>
      <w:r>
        <w:rPr>
          <w:rFonts w:hint="eastAsia"/>
          <w:b/>
          <w:bCs/>
          <w:color w:val="FF0000"/>
          <w:spacing w:val="15"/>
          <w:sz w:val="24"/>
          <w:szCs w:val="24"/>
          <w:highlight w:val="none"/>
          <w:lang w:val="en-US" w:eastAsia="zh-CN"/>
        </w:rPr>
        <w:t xml:space="preserve"> </w:t>
      </w:r>
      <w:r>
        <w:rPr>
          <w:rFonts w:hint="eastAsia"/>
          <w:b/>
          <w:bCs/>
          <w:color w:val="000000"/>
          <w:spacing w:val="15"/>
          <w:sz w:val="24"/>
          <w:szCs w:val="24"/>
          <w:highlight w:val="none"/>
        </w:rPr>
        <w:t>商品质量材料、设备保修及责任</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1.乙方采购的办公家具在交付同时需附有商品质量合格证书，符合国家质量认证标准。若乙方提供未经有关职能部门检验鉴定材料、配件、设备等物资许可的由乙方承担相关责任。</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乙方需确保商品安全可靠性，若因商品质量或其它原因造成不良后果，由乙方负责，采购的商品保修期为（三年），同时在保修期內乙方需提供上述商品的免费上门服务。乙方应在收到甲方通知后的24小时内响应并进行维修。乙方在5个工作日内未能完成维修的,甲方有权委托第三方进行维修，因此产生的费用由乙方承担。</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3．如乙方强迫甲方使用不合格的材料、设备和购置，由此引起的一切后果由乙方负责承担。</w:t>
      </w:r>
    </w:p>
    <w:p>
      <w:pPr>
        <w:pStyle w:val="14"/>
        <w:numPr>
          <w:ilvl w:val="-1"/>
          <w:numId w:val="0"/>
        </w:numPr>
        <w:shd w:val="clear" w:color="auto" w:fill="FFFFFF"/>
        <w:spacing w:before="75" w:beforeAutospacing="0" w:after="0" w:afterAutospacing="0" w:line="320" w:lineRule="exact"/>
        <w:ind w:firstLine="542" w:firstLineChars="200"/>
        <w:jc w:val="left"/>
        <w:rPr>
          <w:rFonts w:hint="eastAsia"/>
          <w:b/>
          <w:bCs/>
          <w:color w:val="000000" w:themeColor="text1"/>
          <w:spacing w:val="15"/>
          <w:sz w:val="24"/>
          <w:szCs w:val="24"/>
          <w:highlight w:val="none"/>
          <w:lang w:val="en-US" w:eastAsia="zh-CN"/>
          <w14:textFill>
            <w14:solidFill>
              <w14:schemeClr w14:val="tx1"/>
            </w14:solidFill>
          </w14:textFill>
        </w:rPr>
      </w:pPr>
      <w:r>
        <w:rPr>
          <w:rFonts w:hint="eastAsia"/>
          <w:b/>
          <w:bCs/>
          <w:color w:val="000000" w:themeColor="text1"/>
          <w:spacing w:val="15"/>
          <w:sz w:val="24"/>
          <w:szCs w:val="24"/>
          <w:highlight w:val="none"/>
          <w:lang w:val="en-US" w:eastAsia="zh-CN"/>
          <w14:textFill>
            <w14:solidFill>
              <w14:schemeClr w14:val="tx1"/>
            </w14:solidFill>
          </w14:textFill>
        </w:rPr>
        <w:t>第六条 违约责任</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1.办公家具安装期间，任何一方不得无正当理由随意解除合同，否则应承担相应的违约责任。</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2.因甲方违约导致合同解除的，甲方须支付办公设备采购相关的合理费用给乙方。因乙方违约导致合同解除的，甲方有权要求乙方进行赔偿。</w:t>
      </w:r>
    </w:p>
    <w:p>
      <w:pPr>
        <w:pStyle w:val="14"/>
        <w:numPr>
          <w:ilvl w:val="-1"/>
          <w:numId w:val="0"/>
        </w:numPr>
        <w:shd w:val="clear" w:color="auto" w:fill="FFFFFF"/>
        <w:spacing w:before="75" w:beforeAutospacing="0" w:after="0" w:afterAutospacing="0" w:line="340" w:lineRule="exact"/>
        <w:ind w:left="0" w:firstLine="480" w:firstLineChars="200"/>
        <w:rPr>
          <w:rFonts w:hint="default"/>
          <w:b w:val="0"/>
          <w:bCs w:val="0"/>
          <w:color w:val="000000" w:themeColor="text1"/>
          <w:spacing w:val="15"/>
          <w:sz w:val="24"/>
          <w:szCs w:val="24"/>
          <w:highlight w:val="none"/>
          <w:lang w:val="en-US" w:eastAsia="zh-CN"/>
          <w14:textFill>
            <w14:solidFill>
              <w14:schemeClr w14:val="tx1"/>
            </w14:solidFill>
          </w14:textFill>
        </w:rPr>
      </w:pPr>
      <w:r>
        <w:rPr>
          <w:rFonts w:hint="eastAsia" w:ascii="仿宋" w:hAnsi="仿宋" w:eastAsia="仿宋" w:cs="仿宋"/>
          <w:color w:val="auto"/>
          <w:kern w:val="2"/>
          <w:sz w:val="24"/>
          <w:szCs w:val="24"/>
          <w:highlight w:val="none"/>
          <w:lang w:val="en-US" w:eastAsia="zh-CN" w:bidi="ar-SA"/>
        </w:rPr>
        <w:t>3.乙方须确保办公家具安装的过程安全，如因乙方操作不当造成工作人员或甲方人员造成人身安全等问题，乙方应承担全部责任。</w:t>
      </w:r>
    </w:p>
    <w:p>
      <w:pPr>
        <w:pStyle w:val="14"/>
        <w:numPr>
          <w:ilvl w:val="-1"/>
          <w:numId w:val="0"/>
        </w:numPr>
        <w:shd w:val="clear" w:color="auto" w:fill="FFFFFF"/>
        <w:spacing w:before="75" w:beforeAutospacing="0" w:after="0" w:afterAutospacing="0" w:line="320" w:lineRule="exact"/>
        <w:ind w:firstLine="542" w:firstLineChars="200"/>
        <w:jc w:val="left"/>
        <w:rPr>
          <w:rFonts w:hint="eastAsia"/>
          <w:b/>
          <w:bCs/>
          <w:color w:val="000000" w:themeColor="text1"/>
          <w:spacing w:val="15"/>
          <w:sz w:val="24"/>
          <w:szCs w:val="24"/>
          <w:highlight w:val="none"/>
          <w:lang w:val="en-US" w:eastAsia="zh-CN"/>
          <w14:textFill>
            <w14:solidFill>
              <w14:schemeClr w14:val="tx1"/>
            </w14:solidFill>
          </w14:textFill>
        </w:rPr>
      </w:pPr>
      <w:r>
        <w:rPr>
          <w:rFonts w:hint="eastAsia"/>
          <w:b/>
          <w:bCs/>
          <w:color w:val="000000" w:themeColor="text1"/>
          <w:spacing w:val="15"/>
          <w:sz w:val="24"/>
          <w:szCs w:val="24"/>
          <w:highlight w:val="none"/>
          <w:lang w:val="en-US" w:eastAsia="zh-CN"/>
          <w14:textFill>
            <w14:solidFill>
              <w14:schemeClr w14:val="tx1"/>
            </w14:solidFill>
          </w14:textFill>
        </w:rPr>
        <w:t>第七条 争议解决办法</w:t>
      </w:r>
    </w:p>
    <w:p>
      <w:pPr>
        <w:pStyle w:val="14"/>
        <w:numPr>
          <w:ilvl w:val="-1"/>
          <w:numId w:val="0"/>
        </w:numPr>
        <w:shd w:val="clear" w:color="auto" w:fill="FFFFFF"/>
        <w:spacing w:before="75" w:beforeAutospacing="0" w:after="0" w:afterAutospacing="0" w:line="34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本合同如在履行中发生纠纷，双方应通过协商解决，协商不成的向甲方所在地有管辖权的人民法院起诉。</w:t>
      </w:r>
    </w:p>
    <w:p>
      <w:pPr>
        <w:pStyle w:val="14"/>
        <w:shd w:val="clear" w:color="auto" w:fill="FFFFFF"/>
        <w:spacing w:before="75" w:beforeAutospacing="0" w:after="0" w:afterAutospacing="0" w:line="320" w:lineRule="exact"/>
        <w:ind w:left="0" w:leftChars="0" w:firstLine="542" w:firstLineChars="200"/>
        <w:rPr>
          <w:rFonts w:hint="eastAsia" w:eastAsia="宋体"/>
          <w:b/>
          <w:bCs/>
          <w:color w:val="000000" w:themeColor="text1"/>
          <w:spacing w:val="15"/>
          <w:sz w:val="24"/>
          <w:szCs w:val="24"/>
          <w:highlight w:val="none"/>
          <w:lang w:val="en-US" w:eastAsia="zh-CN"/>
          <w14:textFill>
            <w14:solidFill>
              <w14:schemeClr w14:val="tx1"/>
            </w14:solidFill>
          </w14:textFill>
        </w:rPr>
      </w:pPr>
      <w:r>
        <w:rPr>
          <w:rFonts w:hint="eastAsia"/>
          <w:b/>
          <w:bCs/>
          <w:color w:val="000000" w:themeColor="text1"/>
          <w:spacing w:val="15"/>
          <w:sz w:val="24"/>
          <w:szCs w:val="24"/>
          <w:highlight w:val="none"/>
          <w:lang w:val="en-US" w:eastAsia="zh-CN"/>
          <w14:textFill>
            <w14:solidFill>
              <w14:schemeClr w14:val="tx1"/>
            </w14:solidFill>
          </w14:textFill>
        </w:rPr>
        <w:t>第八条 其他约定</w:t>
      </w:r>
    </w:p>
    <w:p>
      <w:pPr>
        <w:pStyle w:val="14"/>
        <w:numPr>
          <w:ilvl w:val="-1"/>
          <w:numId w:val="0"/>
        </w:numPr>
        <w:shd w:val="clear" w:color="auto" w:fill="FFFFFF"/>
        <w:spacing w:before="75" w:beforeAutospacing="0" w:after="0" w:afterAutospacing="0" w:line="340" w:lineRule="exact"/>
        <w:ind w:left="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本合同一式五份，甲方执肆份，乙方执一份，自签订盖章之日起生效，未尽事宜由双方协商解决并签订补充协议。</w:t>
      </w: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b/>
          <w:bCs/>
          <w:color w:val="000000" w:themeColor="text1"/>
          <w:spacing w:val="15"/>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3040380</wp:posOffset>
                </wp:positionH>
                <wp:positionV relativeFrom="paragraph">
                  <wp:posOffset>180975</wp:posOffset>
                </wp:positionV>
                <wp:extent cx="342519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5190" cy="1403985"/>
                        </a:xfrm>
                        <a:prstGeom prst="rect">
                          <a:avLst/>
                        </a:prstGeom>
                        <a:noFill/>
                        <a:ln w="9525">
                          <a:noFill/>
                          <a:miter lim="800000"/>
                        </a:ln>
                      </wps:spPr>
                      <wps:txbx>
                        <w:txbxContent>
                          <w:p>
                            <w:pPr>
                              <w:spacing w:line="340" w:lineRule="exact"/>
                              <w:rPr>
                                <w:rFonts w:hint="eastAsia" w:asciiTheme="minorEastAsia" w:hAnsiTheme="minorEastAsia" w:eastAsiaTheme="minorEastAsia" w:cstheme="minorEastAsia"/>
                                <w:color w:val="000000"/>
                                <w:spacing w:val="15"/>
                                <w:sz w:val="24"/>
                                <w:szCs w:val="24"/>
                              </w:rPr>
                            </w:pPr>
                            <w:r>
                              <w:rPr>
                                <w:rFonts w:hint="eastAsia" w:asciiTheme="minorEastAsia" w:hAnsiTheme="minorEastAsia" w:eastAsiaTheme="minorEastAsia" w:cstheme="minorEastAsia"/>
                                <w:color w:val="000000"/>
                                <w:spacing w:val="15"/>
                                <w:sz w:val="24"/>
                                <w:szCs w:val="24"/>
                              </w:rPr>
                              <w:t>乙方(盖章)：</w:t>
                            </w:r>
                          </w:p>
                          <w:p>
                            <w:pPr>
                              <w:spacing w:line="340" w:lineRule="exact"/>
                              <w:rPr>
                                <w:rFonts w:hint="eastAsia" w:asciiTheme="minorEastAsia" w:hAnsiTheme="minorEastAsia" w:eastAsiaTheme="minorEastAsia" w:cstheme="minorEastAsia"/>
                                <w:color w:val="000000"/>
                                <w:spacing w:val="15"/>
                                <w:sz w:val="24"/>
                                <w:szCs w:val="24"/>
                              </w:rPr>
                            </w:pPr>
                          </w:p>
                          <w:p>
                            <w:pPr>
                              <w:spacing w:line="340" w:lineRule="exact"/>
                              <w:rPr>
                                <w:rFonts w:hint="eastAsia" w:asciiTheme="minorEastAsia" w:hAnsiTheme="minorEastAsia" w:eastAsiaTheme="minorEastAsia" w:cstheme="minorEastAsia"/>
                                <w:color w:val="000000"/>
                                <w:spacing w:val="15"/>
                                <w:sz w:val="24"/>
                                <w:szCs w:val="24"/>
                              </w:rPr>
                            </w:pPr>
                            <w:r>
                              <w:rPr>
                                <w:rFonts w:hint="eastAsia" w:asciiTheme="minorEastAsia" w:hAnsiTheme="minorEastAsia" w:eastAsiaTheme="minorEastAsia" w:cstheme="minorEastAsia"/>
                                <w:color w:val="000000"/>
                                <w:spacing w:val="15"/>
                                <w:sz w:val="24"/>
                                <w:szCs w:val="24"/>
                              </w:rPr>
                              <w:t>（代表签名)：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9.4pt;margin-top:14.25pt;height:110.55pt;width:269.7pt;z-index:251661312;mso-width-relative:page;mso-height-relative:margin;mso-height-percent:200;" filled="f" stroked="f" coordsize="21600,21600" o:gfxdata="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Sv7R2QAAAAsBAAAPAAAAAAAAAAEAIAAAACIAAABkcnMvZG93bnJldi54bWxQSwECFAAUAAAA&#10;CACHTuJAvKLCSSYCAAAsBAAADgAAAAAAAAABACAAAAAoAQAAZHJzL2Uyb0RvYy54bWxQSwUGAAAA&#10;AAYABgBZAQAAwAUAAAAA&#10;">
                <v:fill on="f" focussize="0,0"/>
                <v:stroke on="f" miterlimit="8" joinstyle="miter"/>
                <v:imagedata o:title=""/>
                <o:lock v:ext="edit" aspectratio="f"/>
                <v:textbox style="mso-fit-shape-to-text:t;">
                  <w:txbxContent>
                    <w:p>
                      <w:pPr>
                        <w:spacing w:line="340" w:lineRule="exact"/>
                        <w:rPr>
                          <w:rFonts w:hint="eastAsia" w:asciiTheme="minorEastAsia" w:hAnsiTheme="minorEastAsia" w:eastAsiaTheme="minorEastAsia" w:cstheme="minorEastAsia"/>
                          <w:color w:val="000000"/>
                          <w:spacing w:val="15"/>
                          <w:sz w:val="24"/>
                          <w:szCs w:val="24"/>
                        </w:rPr>
                      </w:pPr>
                      <w:r>
                        <w:rPr>
                          <w:rFonts w:hint="eastAsia" w:asciiTheme="minorEastAsia" w:hAnsiTheme="minorEastAsia" w:eastAsiaTheme="minorEastAsia" w:cstheme="minorEastAsia"/>
                          <w:color w:val="000000"/>
                          <w:spacing w:val="15"/>
                          <w:sz w:val="24"/>
                          <w:szCs w:val="24"/>
                        </w:rPr>
                        <w:t>乙方(盖章)：</w:t>
                      </w:r>
                    </w:p>
                    <w:p>
                      <w:pPr>
                        <w:spacing w:line="340" w:lineRule="exact"/>
                        <w:rPr>
                          <w:rFonts w:hint="eastAsia" w:asciiTheme="minorEastAsia" w:hAnsiTheme="minorEastAsia" w:eastAsiaTheme="minorEastAsia" w:cstheme="minorEastAsia"/>
                          <w:color w:val="000000"/>
                          <w:spacing w:val="15"/>
                          <w:sz w:val="24"/>
                          <w:szCs w:val="24"/>
                        </w:rPr>
                      </w:pPr>
                    </w:p>
                    <w:p>
                      <w:pPr>
                        <w:spacing w:line="340" w:lineRule="exact"/>
                        <w:rPr>
                          <w:rFonts w:hint="eastAsia" w:asciiTheme="minorEastAsia" w:hAnsiTheme="minorEastAsia" w:eastAsiaTheme="minorEastAsia" w:cstheme="minorEastAsia"/>
                          <w:color w:val="000000"/>
                          <w:spacing w:val="15"/>
                          <w:sz w:val="24"/>
                          <w:szCs w:val="24"/>
                        </w:rPr>
                      </w:pPr>
                      <w:r>
                        <w:rPr>
                          <w:rFonts w:hint="eastAsia" w:asciiTheme="minorEastAsia" w:hAnsiTheme="minorEastAsia" w:eastAsiaTheme="minorEastAsia" w:cstheme="minorEastAsia"/>
                          <w:color w:val="000000"/>
                          <w:spacing w:val="15"/>
                          <w:sz w:val="24"/>
                          <w:szCs w:val="24"/>
                        </w:rPr>
                        <w:t>（代表签名)：</w:t>
                      </w:r>
                    </w:p>
                  </w:txbxContent>
                </v:textbox>
              </v:shape>
            </w:pict>
          </mc:Fallback>
        </mc:AlternateContent>
      </w:r>
    </w:p>
    <w:p>
      <w:pPr>
        <w:spacing w:line="340" w:lineRule="exact"/>
        <w:ind w:firstLine="270" w:firstLineChars="1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甲方(盖章)：</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 xml:space="preserve"> </w:t>
      </w: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pPr>
        <w:spacing w:line="340" w:lineRule="exact"/>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pPr>
        <w:pStyle w:val="25"/>
        <w:rPr>
          <w:rFonts w:ascii="仿宋_GB2312" w:hAnsi="仿宋_GB2312" w:eastAsia="仿宋_GB2312" w:cs="仿宋_GB2312"/>
          <w:color w:val="auto"/>
          <w:highlight w:val="none"/>
        </w:rPr>
      </w:pPr>
      <w:r>
        <w:rPr>
          <w:rFonts w:hint="eastAsia" w:asciiTheme="minorEastAsia" w:hAnsiTheme="minorEastAsia" w:eastAsiaTheme="minorEastAsia" w:cstheme="minorEastAsia"/>
          <w:b/>
          <w:bCs/>
          <w:color w:val="000000"/>
          <w:spacing w:val="15"/>
          <w:sz w:val="24"/>
          <w:szCs w:val="24"/>
        </w:rPr>
        <w:t>202</w:t>
      </w:r>
      <w:r>
        <w:rPr>
          <w:rFonts w:hint="eastAsia" w:asciiTheme="minorEastAsia" w:hAnsiTheme="minorEastAsia" w:eastAsiaTheme="minorEastAsia" w:cstheme="minorEastAsia"/>
          <w:b/>
          <w:bCs/>
          <w:color w:val="000000"/>
          <w:spacing w:val="15"/>
          <w:sz w:val="24"/>
          <w:szCs w:val="24"/>
          <w:lang w:val="en-US" w:eastAsia="zh-CN"/>
        </w:rPr>
        <w:t>3</w:t>
      </w:r>
      <w:r>
        <w:rPr>
          <w:rFonts w:hint="eastAsia" w:asciiTheme="minorEastAsia" w:hAnsiTheme="minorEastAsia" w:eastAsiaTheme="minorEastAsia" w:cstheme="minorEastAsia"/>
          <w:b/>
          <w:bCs/>
          <w:color w:val="000000"/>
          <w:spacing w:val="15"/>
          <w:sz w:val="24"/>
          <w:szCs w:val="24"/>
        </w:rPr>
        <w:t>年  月   日</w:t>
      </w:r>
      <w:r>
        <w:rPr>
          <w:rFonts w:hint="eastAsia" w:asciiTheme="minorEastAsia" w:hAnsiTheme="minorEastAsia" w:eastAsiaTheme="minorEastAsia" w:cstheme="minorEastAsia"/>
          <w:b/>
          <w:bCs/>
          <w:color w:val="000000"/>
          <w:spacing w:val="15"/>
          <w:sz w:val="24"/>
          <w:szCs w:val="24"/>
          <w:lang w:val="en-US" w:eastAsia="zh-CN"/>
        </w:rPr>
        <w:t xml:space="preserve">                     </w:t>
      </w:r>
      <w:r>
        <w:rPr>
          <w:rFonts w:hint="eastAsia" w:asciiTheme="minorEastAsia" w:hAnsiTheme="minorEastAsia" w:eastAsiaTheme="minorEastAsia" w:cstheme="minorEastAsia"/>
          <w:b/>
          <w:bCs/>
          <w:color w:val="000000"/>
          <w:spacing w:val="15"/>
          <w:sz w:val="24"/>
          <w:szCs w:val="24"/>
        </w:rPr>
        <w:t>202</w:t>
      </w:r>
      <w:r>
        <w:rPr>
          <w:rFonts w:hint="eastAsia" w:asciiTheme="minorEastAsia" w:hAnsiTheme="minorEastAsia" w:eastAsiaTheme="minorEastAsia" w:cstheme="minorEastAsia"/>
          <w:b/>
          <w:bCs/>
          <w:color w:val="000000"/>
          <w:spacing w:val="15"/>
          <w:sz w:val="24"/>
          <w:szCs w:val="24"/>
          <w:lang w:val="en-US" w:eastAsia="zh-CN"/>
        </w:rPr>
        <w:t>3</w:t>
      </w:r>
      <w:r>
        <w:rPr>
          <w:rFonts w:hint="eastAsia" w:asciiTheme="minorEastAsia" w:hAnsiTheme="minorEastAsia" w:eastAsiaTheme="minorEastAsia" w:cstheme="minorEastAsia"/>
          <w:b/>
          <w:bCs/>
          <w:color w:val="000000"/>
          <w:spacing w:val="15"/>
          <w:sz w:val="24"/>
          <w:szCs w:val="24"/>
        </w:rPr>
        <w:t>年  月   日</w:t>
      </w:r>
    </w:p>
    <w:p>
      <w:pPr>
        <w:pStyle w:val="6"/>
        <w:shd w:val="clear" w:color="auto" w:fill="auto"/>
        <w:jc w:val="center"/>
        <w:rPr>
          <w:rFonts w:hint="eastAsia" w:ascii="仿宋" w:hAnsi="仿宋" w:eastAsia="仿宋" w:cs="仿宋"/>
          <w:bCs/>
          <w:color w:val="auto"/>
          <w:kern w:val="0"/>
          <w:sz w:val="52"/>
          <w:szCs w:val="52"/>
          <w:highlight w:val="none"/>
        </w:rPr>
      </w:pPr>
      <w:bookmarkStart w:id="17" w:name="_Toc25076"/>
      <w:bookmarkStart w:id="18" w:name="_Toc16107_WPSOffice_Level1"/>
    </w:p>
    <w:p>
      <w:pPr>
        <w:shd w:val="clear" w:color="auto" w:fill="auto"/>
        <w:rPr>
          <w:rFonts w:hint="eastAsia" w:ascii="仿宋" w:hAnsi="仿宋" w:eastAsia="仿宋" w:cs="仿宋"/>
          <w:b/>
          <w:bCs/>
          <w:color w:val="auto"/>
          <w:kern w:val="0"/>
          <w:sz w:val="52"/>
          <w:szCs w:val="52"/>
          <w:highlight w:val="none"/>
        </w:rPr>
      </w:pPr>
    </w:p>
    <w:p>
      <w:pPr>
        <w:shd w:val="clear" w:color="auto" w:fill="auto"/>
        <w:rPr>
          <w:rFonts w:hint="eastAsia" w:ascii="仿宋" w:hAnsi="仿宋" w:eastAsia="仿宋" w:cs="仿宋"/>
          <w:b/>
          <w:bCs/>
          <w:color w:val="auto"/>
          <w:kern w:val="0"/>
          <w:sz w:val="52"/>
          <w:szCs w:val="5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2"/>
        <w:adjustRightInd w:val="0"/>
        <w:snapToGrid w:val="0"/>
        <w:spacing w:before="0" w:after="0" w:line="240" w:lineRule="auto"/>
        <w:jc w:val="center"/>
        <w:rPr>
          <w:rFonts w:hint="eastAsia" w:ascii="仿宋" w:hAnsi="仿宋" w:eastAsia="仿宋" w:cs="仿宋"/>
          <w:color w:val="auto"/>
          <w:sz w:val="32"/>
          <w:szCs w:val="32"/>
          <w:highlight w:val="none"/>
        </w:rPr>
      </w:pPr>
      <w:bookmarkStart w:id="19" w:name="_Toc1486"/>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eastAsia="zh-CN"/>
        </w:rPr>
        <w:t>投标文件</w:t>
      </w:r>
      <w:r>
        <w:rPr>
          <w:rFonts w:hint="eastAsia" w:ascii="仿宋" w:hAnsi="仿宋" w:eastAsia="仿宋" w:cs="仿宋"/>
          <w:color w:val="auto"/>
          <w:sz w:val="32"/>
          <w:szCs w:val="32"/>
          <w:highlight w:val="none"/>
        </w:rPr>
        <w:t>内容及格式</w:t>
      </w:r>
      <w:bookmarkEnd w:id="17"/>
      <w:bookmarkEnd w:id="18"/>
      <w:bookmarkEnd w:id="19"/>
    </w:p>
    <w:p>
      <w:pPr>
        <w:ind w:firstLine="482" w:firstLineChars="200"/>
        <w:rPr>
          <w:rFonts w:hint="eastAsia" w:ascii="仿宋" w:hAnsi="仿宋" w:eastAsia="仿宋" w:cs="仿宋"/>
          <w:b/>
          <w:color w:val="auto"/>
          <w:sz w:val="24"/>
          <w:highlight w:val="none"/>
        </w:rPr>
      </w:pPr>
      <w:bookmarkStart w:id="20" w:name="sys_投标文件内容及格式：Block"/>
      <w:bookmarkEnd w:id="20"/>
      <w:bookmarkStart w:id="21" w:name="投标文件内容及格式：Block"/>
      <w:bookmarkEnd w:id="21"/>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kern w:val="0"/>
          <w:szCs w:val="21"/>
          <w:highlight w:val="none"/>
        </w:rPr>
      </w:pPr>
    </w:p>
    <w:p>
      <w:pPr>
        <w:snapToGrid w:val="0"/>
        <w:spacing w:line="276" w:lineRule="auto"/>
        <w:ind w:firstLine="420" w:firstLineChars="200"/>
        <w:jc w:val="left"/>
        <w:rPr>
          <w:rFonts w:hint="eastAsia" w:ascii="仿宋" w:hAnsi="仿宋" w:eastAsia="仿宋" w:cs="仿宋"/>
          <w:color w:val="auto"/>
          <w:szCs w:val="21"/>
          <w:highlight w:val="none"/>
        </w:rPr>
      </w:pPr>
    </w:p>
    <w:p>
      <w:pPr>
        <w:snapToGrid w:val="0"/>
        <w:spacing w:line="276" w:lineRule="auto"/>
        <w:ind w:firstLine="420" w:firstLineChars="200"/>
        <w:jc w:val="left"/>
        <w:rPr>
          <w:rFonts w:hint="eastAsia" w:ascii="仿宋" w:hAnsi="仿宋" w:eastAsia="仿宋" w:cs="仿宋"/>
          <w:color w:val="auto"/>
          <w:szCs w:val="21"/>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tabs>
          <w:tab w:val="left" w:pos="6832"/>
        </w:tabs>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4003675</wp:posOffset>
                </wp:positionH>
                <wp:positionV relativeFrom="paragraph">
                  <wp:posOffset>104140</wp:posOffset>
                </wp:positionV>
                <wp:extent cx="1253490" cy="563245"/>
                <wp:effectExtent l="5080" t="4445" r="6350" b="1143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15.25pt;margin-top:8.2pt;height:44.35pt;width:98.7pt;z-index:251659264;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DevENkAAAAKAQAADwAAAAAAAAAB&#10;ACAAAAAiAAAAZHJzL2Rvd25yZXYueG1sUEsBAhQAFAAAAAgAh07iQDaDirEPAgAARA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
          <w:color w:val="auto"/>
          <w:highlight w:val="none"/>
        </w:rPr>
        <w:tab/>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投</w:t>
      </w:r>
      <w:r>
        <w:rPr>
          <w:rFonts w:hint="eastAsia" w:ascii="仿宋" w:hAnsi="仿宋" w:eastAsia="仿宋" w:cs="仿宋"/>
          <w:b/>
          <w:bCs/>
          <w:color w:val="auto"/>
          <w:sz w:val="52"/>
          <w:szCs w:val="52"/>
          <w:highlight w:val="none"/>
        </w:rPr>
        <w:t xml:space="preserve">  </w:t>
      </w:r>
      <w:r>
        <w:rPr>
          <w:rFonts w:hint="eastAsia" w:ascii="仿宋" w:hAnsi="仿宋" w:eastAsia="仿宋" w:cs="仿宋"/>
          <w:b/>
          <w:bCs/>
          <w:color w:val="auto"/>
          <w:sz w:val="52"/>
          <w:szCs w:val="52"/>
          <w:highlight w:val="none"/>
          <w:lang w:val="en-US" w:eastAsia="zh-CN"/>
        </w:rPr>
        <w:t>标</w:t>
      </w:r>
      <w:r>
        <w:rPr>
          <w:rFonts w:hint="eastAsia" w:ascii="仿宋" w:hAnsi="仿宋" w:eastAsia="仿宋" w:cs="仿宋"/>
          <w:b/>
          <w:bCs/>
          <w:color w:val="auto"/>
          <w:sz w:val="52"/>
          <w:szCs w:val="52"/>
          <w:highlight w:val="none"/>
        </w:rPr>
        <w:t xml:space="preserve">  文  件</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 xml:space="preserve">号：第  </w:t>
      </w:r>
      <w:r>
        <w:rPr>
          <w:rFonts w:hint="eastAsia" w:ascii="仿宋" w:hAnsi="仿宋" w:eastAsia="仿宋" w:cs="仿宋"/>
          <w:color w:val="auto"/>
          <w:sz w:val="28"/>
          <w:szCs w:val="28"/>
          <w:highlight w:val="none"/>
          <w:lang w:eastAsia="zh-CN"/>
        </w:rPr>
        <w:t>标段</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rPr>
        <w:br w:type="page"/>
      </w:r>
    </w:p>
    <w:p>
      <w:pPr>
        <w:pStyle w:val="3"/>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bidi w:val="0"/>
        <w:adjustRightInd w:val="0"/>
        <w:snapToGrid w:val="0"/>
        <w:spacing w:line="360" w:lineRule="auto"/>
        <w:ind w:right="630" w:rightChars="3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致：</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招标人</w:t>
      </w:r>
      <w:r>
        <w:rPr>
          <w:rFonts w:hint="eastAsia" w:ascii="仿宋" w:hAnsi="仿宋" w:eastAsia="仿宋" w:cs="仿宋"/>
          <w:color w:val="auto"/>
          <w:szCs w:val="21"/>
          <w:highlight w:val="none"/>
          <w:u w:val="single"/>
          <w:lang w:val="en-US" w:eastAsia="zh-CN"/>
        </w:rPr>
        <w:t>名称</w:t>
      </w:r>
      <w:r>
        <w:rPr>
          <w:rFonts w:hint="eastAsia" w:ascii="仿宋" w:hAnsi="仿宋" w:eastAsia="仿宋" w:cs="仿宋"/>
          <w:color w:val="auto"/>
          <w:szCs w:val="21"/>
          <w:highlight w:val="none"/>
          <w:u w:val="single"/>
        </w:rPr>
        <w:t>）</w:t>
      </w:r>
    </w:p>
    <w:p>
      <w:pPr>
        <w:keepNext w:val="0"/>
        <w:keepLines w:val="0"/>
        <w:pageBreakBefore w:val="0"/>
        <w:widowControl w:val="0"/>
        <w:kinsoku/>
        <w:wordWrap/>
        <w:overflowPunct/>
        <w:topLinePunct w:val="0"/>
        <w:bidi w:val="0"/>
        <w:adjustRightInd w:val="0"/>
        <w:snapToGrid w:val="0"/>
        <w:spacing w:line="360" w:lineRule="auto"/>
        <w:ind w:right="-21" w:rightChars="-1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1.我方已仔细研究了</w:t>
      </w:r>
      <w:r>
        <w:rPr>
          <w:rFonts w:hint="eastAsia" w:ascii="仿宋" w:hAnsi="仿宋" w:eastAsia="仿宋" w:cs="仿宋"/>
          <w:strike w:val="0"/>
          <w:dstrike w:val="0"/>
          <w:color w:val="auto"/>
          <w:szCs w:val="21"/>
          <w:highlight w:val="none"/>
          <w:u w:val="single"/>
          <w:lang w:val="en-US" w:eastAsia="zh-CN"/>
        </w:rPr>
        <w:t xml:space="preserve">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lang w:val="en-US" w:eastAsia="zh-CN"/>
        </w:rPr>
        <w:t>招标文件的全部内容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none"/>
          <w:lang w:val="en-US" w:eastAsia="zh-CN"/>
        </w:rPr>
        <w:t xml:space="preserve">愿以含税总价人民币 </w:t>
      </w:r>
      <w:r>
        <w:rPr>
          <w:rFonts w:hint="eastAsia" w:ascii="仿宋" w:hAnsi="仿宋" w:eastAsia="仿宋" w:cs="仿宋"/>
          <w:strike w:val="0"/>
          <w:dstrike w:val="0"/>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元（小写：</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元）的报价（增值税的税率为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%）完成本项目并按合同约定履行义务。</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2.我方承诺，我方响应招标文件的全部要求。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投标有效期</w:t>
      </w:r>
      <w:r>
        <w:rPr>
          <w:rFonts w:hint="eastAsia" w:ascii="仿宋" w:hAnsi="仿宋" w:eastAsia="仿宋" w:cs="仿宋"/>
          <w:color w:val="auto"/>
          <w:szCs w:val="21"/>
          <w:highlight w:val="none"/>
        </w:rPr>
        <w:t>为自递交</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截止之日起</w:t>
      </w:r>
      <w:r>
        <w:rPr>
          <w:rFonts w:hint="eastAsia" w:ascii="仿宋" w:hAnsi="仿宋" w:eastAsia="仿宋" w:cs="仿宋"/>
          <w:color w:val="auto"/>
          <w:szCs w:val="21"/>
          <w:highlight w:val="none"/>
          <w:u w:val="single"/>
          <w:lang w:val="en-US" w:eastAsia="zh-CN"/>
        </w:rPr>
        <w:t xml:space="preserve"> 90 </w:t>
      </w:r>
      <w:r>
        <w:rPr>
          <w:rFonts w:hint="eastAsia" w:ascii="仿宋" w:hAnsi="仿宋" w:eastAsia="仿宋" w:cs="仿宋"/>
          <w:color w:val="auto"/>
          <w:szCs w:val="21"/>
          <w:highlight w:val="none"/>
        </w:rPr>
        <w:t>日历日。</w:t>
      </w:r>
    </w:p>
    <w:p>
      <w:pPr>
        <w:pStyle w:val="24"/>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4.我方承诺在投标有效期内不撤销投标文件。</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5.我方</w:t>
      </w:r>
      <w:r>
        <w:rPr>
          <w:rFonts w:hint="eastAsia" w:ascii="仿宋" w:hAnsi="仿宋" w:eastAsia="仿宋" w:cs="仿宋"/>
          <w:color w:val="auto"/>
          <w:szCs w:val="21"/>
          <w:highlight w:val="none"/>
        </w:rPr>
        <w:t>完全理解</w:t>
      </w:r>
      <w:r>
        <w:rPr>
          <w:rFonts w:hint="eastAsia" w:ascii="仿宋" w:hAnsi="仿宋" w:eastAsia="仿宋" w:cs="仿宋"/>
          <w:color w:val="auto"/>
          <w:szCs w:val="21"/>
          <w:highlight w:val="none"/>
          <w:lang w:val="en-US" w:eastAsia="zh-CN"/>
        </w:rPr>
        <w:t>你</w:t>
      </w:r>
      <w:r>
        <w:rPr>
          <w:rFonts w:hint="eastAsia" w:ascii="仿宋" w:hAnsi="仿宋" w:eastAsia="仿宋" w:cs="仿宋"/>
          <w:color w:val="auto"/>
          <w:szCs w:val="21"/>
          <w:highlight w:val="none"/>
        </w:rPr>
        <w:t>方不一定接受最低</w:t>
      </w:r>
      <w:r>
        <w:rPr>
          <w:rFonts w:hint="eastAsia" w:ascii="仿宋" w:hAnsi="仿宋" w:eastAsia="仿宋" w:cs="仿宋"/>
          <w:color w:val="auto"/>
          <w:szCs w:val="21"/>
          <w:highlight w:val="none"/>
          <w:lang w:val="en-US" w:eastAsia="zh-CN"/>
        </w:rPr>
        <w:t>报</w:t>
      </w:r>
      <w:r>
        <w:rPr>
          <w:rFonts w:hint="eastAsia" w:ascii="仿宋" w:hAnsi="仿宋" w:eastAsia="仿宋" w:cs="仿宋"/>
          <w:color w:val="auto"/>
          <w:szCs w:val="21"/>
          <w:highlight w:val="none"/>
        </w:rPr>
        <w:t>价的</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或收到的任何</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6.如我方中标，我方承诺：</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（1）在收到中标通知书后，在招标文件规定的时间期限内与你方签订合同。</w:t>
      </w:r>
    </w:p>
    <w:p>
      <w:pPr>
        <w:pStyle w:val="24"/>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（2）在签订合同时不向你方提出附加条件。</w:t>
      </w:r>
    </w:p>
    <w:p>
      <w:pPr>
        <w:pStyle w:val="25"/>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（3）按照招标文件的要求递交履约保证金。</w:t>
      </w:r>
    </w:p>
    <w:p>
      <w:pPr>
        <w:pStyle w:val="25"/>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（4）在合同期限内完成合同规定的全部义务。</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7.我方在此声明，所递交的投标文件及有关资料内容完整、真实和准确，且不存在招标文件中投标人不得存在的情形。</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 xml:space="preserve">8. </w:t>
      </w:r>
      <w:r>
        <w:rPr>
          <w:rFonts w:hint="eastAsia" w:ascii="仿宋" w:hAnsi="仿宋" w:eastAsia="仿宋" w:cs="仿宋"/>
          <w:color w:val="auto"/>
          <w:spacing w:val="0"/>
          <w:kern w:val="2"/>
          <w:sz w:val="21"/>
          <w:szCs w:val="21"/>
          <w:highlight w:val="none"/>
          <w:u w:val="single"/>
          <w:lang w:val="en-US" w:eastAsia="zh-CN" w:bidi="ar-SA"/>
        </w:rPr>
        <w:t xml:space="preserve">                          </w:t>
      </w:r>
      <w:r>
        <w:rPr>
          <w:rFonts w:hint="eastAsia" w:ascii="仿宋" w:hAnsi="仿宋" w:eastAsia="仿宋" w:cs="仿宋"/>
          <w:color w:val="auto"/>
          <w:spacing w:val="0"/>
          <w:kern w:val="2"/>
          <w:sz w:val="21"/>
          <w:szCs w:val="21"/>
          <w:highlight w:val="none"/>
          <w:lang w:val="en-US" w:eastAsia="zh-CN" w:bidi="ar-SA"/>
        </w:rPr>
        <w:t>（其他补充说明）。</w:t>
      </w:r>
    </w:p>
    <w:p>
      <w:pPr>
        <w:snapToGrid w:val="0"/>
        <w:spacing w:line="360" w:lineRule="auto"/>
        <w:ind w:right="1050" w:rightChars="500"/>
        <w:rPr>
          <w:rFonts w:hint="eastAsia" w:ascii="仿宋" w:hAnsi="仿宋" w:eastAsia="仿宋" w:cs="仿宋"/>
          <w:color w:val="auto"/>
          <w:szCs w:val="21"/>
          <w:highlight w:val="none"/>
        </w:rPr>
      </w:pPr>
    </w:p>
    <w:p>
      <w:pPr>
        <w:snapToGrid w:val="0"/>
        <w:spacing w:line="360" w:lineRule="auto"/>
        <w:ind w:right="1050" w:rightChars="500"/>
        <w:rPr>
          <w:rFonts w:hint="eastAsia" w:ascii="仿宋" w:hAnsi="仿宋" w:eastAsia="仿宋" w:cs="仿宋"/>
          <w:color w:val="auto"/>
          <w:szCs w:val="21"/>
          <w:highlight w:val="none"/>
        </w:rPr>
      </w:pPr>
    </w:p>
    <w:p>
      <w:pPr>
        <w:snapToGrid w:val="0"/>
        <w:spacing w:line="360" w:lineRule="auto"/>
        <w:ind w:right="1050" w:rightChars="5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名称（加盖单位公章）: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napToGrid w:val="0"/>
        <w:spacing w:line="360" w:lineRule="auto"/>
        <w:ind w:right="1050" w:rightChars="5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法定代表人或其授权委托人</w:t>
      </w:r>
      <w:r>
        <w:rPr>
          <w:rFonts w:hint="eastAsia" w:ascii="仿宋" w:hAnsi="仿宋" w:eastAsia="仿宋" w:cs="仿宋"/>
          <w:color w:val="auto"/>
          <w:highlight w:val="none"/>
        </w:rPr>
        <w:t xml:space="preserve"> (签字或盖章)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snapToGrid w:val="0"/>
        <w:spacing w:line="360" w:lineRule="auto"/>
        <w:ind w:right="1050" w:right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spacing w:line="360" w:lineRule="exact"/>
        <w:ind w:right="1050" w:rightChars="500" w:firstLine="476" w:firstLineChars="227"/>
        <w:rPr>
          <w:rFonts w:hint="eastAsia" w:ascii="仿宋" w:hAnsi="仿宋" w:eastAsia="仿宋" w:cs="仿宋"/>
          <w:color w:val="auto"/>
          <w:szCs w:val="21"/>
          <w:highlight w:val="none"/>
        </w:rPr>
      </w:pPr>
    </w:p>
    <w:p>
      <w:pPr>
        <w:adjustRightInd w:val="0"/>
        <w:snapToGrid w:val="0"/>
        <w:spacing w:line="360" w:lineRule="auto"/>
        <w:ind w:right="1050" w:rightChars="500" w:firstLine="476" w:firstLineChars="227"/>
        <w:rPr>
          <w:rFonts w:hint="eastAsia" w:ascii="仿宋" w:hAnsi="仿宋" w:eastAsia="仿宋" w:cs="仿宋"/>
          <w:color w:val="auto"/>
          <w:szCs w:val="21"/>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3"/>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报价一览表</w:t>
      </w:r>
    </w:p>
    <w:p>
      <w:pPr>
        <w:adjustRightInd w:val="0"/>
        <w:snapToGrid w:val="0"/>
        <w:spacing w:line="360" w:lineRule="auto"/>
        <w:ind w:right="105" w:rightChars="50"/>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报价单位</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人民币</w:t>
      </w:r>
      <w:r>
        <w:rPr>
          <w:rFonts w:hint="eastAsia" w:ascii="仿宋" w:hAnsi="仿宋" w:eastAsia="仿宋" w:cs="仿宋"/>
          <w:b/>
          <w:bCs/>
          <w:color w:val="auto"/>
          <w:szCs w:val="21"/>
          <w:highlight w:val="none"/>
        </w:rPr>
        <w:t>元</w:t>
      </w:r>
    </w:p>
    <w:tbl>
      <w:tblPr>
        <w:tblStyle w:val="1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标段号</w:t>
            </w:r>
          </w:p>
        </w:tc>
        <w:tc>
          <w:tcPr>
            <w:tcW w:w="2563"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i w:val="0"/>
                <w:iCs w:val="0"/>
                <w:color w:val="auto"/>
                <w:szCs w:val="21"/>
                <w:highlight w:val="none"/>
                <w:lang w:val="en-US" w:eastAsia="zh-CN"/>
              </w:rPr>
              <w:t>招标项目</w:t>
            </w:r>
            <w:r>
              <w:rPr>
                <w:rFonts w:hint="eastAsia" w:ascii="仿宋" w:hAnsi="仿宋" w:eastAsia="仿宋" w:cs="仿宋"/>
                <w:i w:val="0"/>
                <w:iCs w:val="0"/>
                <w:color w:val="auto"/>
                <w:szCs w:val="21"/>
                <w:highlight w:val="none"/>
              </w:rPr>
              <w:t>名称</w:t>
            </w:r>
          </w:p>
        </w:tc>
        <w:tc>
          <w:tcPr>
            <w:tcW w:w="1948"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投标总价</w:t>
            </w:r>
          </w:p>
        </w:tc>
        <w:tc>
          <w:tcPr>
            <w:tcW w:w="1523" w:type="dxa"/>
            <w:noWrap w:val="0"/>
            <w:vAlign w:val="center"/>
          </w:tcPr>
          <w:p>
            <w:pPr>
              <w:adjustRightInd w:val="0"/>
              <w:snapToGrid w:val="0"/>
              <w:ind w:left="-86" w:leftChars="-41" w:right="-67" w:rightChars="-32"/>
              <w:jc w:val="center"/>
              <w:rPr>
                <w:rFonts w:hint="eastAsia" w:ascii="仿宋" w:hAnsi="仿宋" w:eastAsia="仿宋" w:cs="仿宋"/>
                <w:i w:val="0"/>
                <w:iCs w:val="0"/>
                <w:color w:val="auto"/>
                <w:szCs w:val="21"/>
                <w:highlight w:val="none"/>
                <w:lang w:val="en-US" w:eastAsia="zh-CN"/>
              </w:rPr>
            </w:pPr>
            <w:r>
              <w:rPr>
                <w:rFonts w:hint="eastAsia" w:ascii="仿宋" w:hAnsi="仿宋" w:eastAsia="仿宋" w:cs="仿宋"/>
                <w:i w:val="0"/>
                <w:iCs w:val="0"/>
                <w:color w:val="auto"/>
                <w:szCs w:val="21"/>
                <w:highlight w:val="none"/>
                <w:lang w:val="en-US" w:eastAsia="zh-CN"/>
              </w:rPr>
              <w:t>工期（天）</w:t>
            </w:r>
          </w:p>
        </w:tc>
        <w:tc>
          <w:tcPr>
            <w:tcW w:w="1101"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税率</w:t>
            </w:r>
          </w:p>
        </w:tc>
        <w:tc>
          <w:tcPr>
            <w:tcW w:w="1101"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noWrap w:val="0"/>
            <w:vAlign w:val="center"/>
          </w:tcPr>
          <w:p>
            <w:pPr>
              <w:adjustRightInd w:val="0"/>
              <w:snapToGrid w:val="0"/>
              <w:ind w:right="105" w:rightChars="50"/>
              <w:jc w:val="left"/>
              <w:rPr>
                <w:rFonts w:hint="eastAsia" w:ascii="仿宋" w:hAnsi="仿宋" w:eastAsia="仿宋" w:cs="仿宋"/>
                <w:color w:val="auto"/>
                <w:szCs w:val="21"/>
                <w:highlight w:val="none"/>
              </w:rPr>
            </w:pPr>
          </w:p>
        </w:tc>
        <w:tc>
          <w:tcPr>
            <w:tcW w:w="2563" w:type="dxa"/>
            <w:noWrap w:val="0"/>
            <w:vAlign w:val="center"/>
          </w:tcPr>
          <w:p>
            <w:pPr>
              <w:adjustRightInd w:val="0"/>
              <w:snapToGrid w:val="0"/>
              <w:ind w:right="105" w:rightChars="50"/>
              <w:jc w:val="left"/>
              <w:rPr>
                <w:rFonts w:hint="eastAsia" w:ascii="仿宋" w:hAnsi="仿宋" w:eastAsia="仿宋" w:cs="仿宋"/>
                <w:color w:val="auto"/>
                <w:szCs w:val="21"/>
                <w:highlight w:val="none"/>
              </w:rPr>
            </w:pPr>
          </w:p>
        </w:tc>
        <w:tc>
          <w:tcPr>
            <w:tcW w:w="1948" w:type="dxa"/>
            <w:noWrap w:val="0"/>
            <w:vAlign w:val="center"/>
          </w:tcPr>
          <w:p>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p>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1523" w:type="dxa"/>
            <w:noWrap w:val="0"/>
            <w:vAlign w:val="center"/>
          </w:tcPr>
          <w:p>
            <w:pPr>
              <w:adjustRightInd w:val="0"/>
              <w:snapToGrid w:val="0"/>
              <w:ind w:right="105" w:rightChars="50"/>
              <w:jc w:val="center"/>
              <w:rPr>
                <w:rFonts w:hint="eastAsia" w:ascii="仿宋" w:hAnsi="仿宋" w:eastAsia="仿宋" w:cs="仿宋"/>
                <w:color w:val="auto"/>
                <w:szCs w:val="21"/>
                <w:highlight w:val="none"/>
              </w:rPr>
            </w:pPr>
          </w:p>
        </w:tc>
        <w:tc>
          <w:tcPr>
            <w:tcW w:w="1101" w:type="dxa"/>
            <w:noWrap w:val="0"/>
            <w:vAlign w:val="center"/>
          </w:tcPr>
          <w:p>
            <w:pPr>
              <w:adjustRightInd w:val="0"/>
              <w:snapToGrid w:val="0"/>
              <w:ind w:right="105" w:rightChars="50"/>
              <w:jc w:val="center"/>
              <w:rPr>
                <w:rFonts w:hint="eastAsia" w:ascii="仿宋" w:hAnsi="仿宋" w:eastAsia="仿宋" w:cs="仿宋"/>
                <w:color w:val="auto"/>
                <w:szCs w:val="21"/>
                <w:highlight w:val="none"/>
                <w:lang w:val="en-US" w:eastAsia="zh-CN"/>
              </w:rPr>
            </w:pPr>
          </w:p>
        </w:tc>
        <w:tc>
          <w:tcPr>
            <w:tcW w:w="1101" w:type="dxa"/>
            <w:noWrap w:val="0"/>
            <w:vAlign w:val="center"/>
          </w:tcPr>
          <w:p>
            <w:pPr>
              <w:adjustRightInd w:val="0"/>
              <w:snapToGrid w:val="0"/>
              <w:ind w:right="105" w:rightChars="50"/>
              <w:jc w:val="center"/>
              <w:rPr>
                <w:rFonts w:hint="eastAsia" w:ascii="仿宋" w:hAnsi="仿宋" w:eastAsia="仿宋" w:cs="仿宋"/>
                <w:color w:val="auto"/>
                <w:szCs w:val="21"/>
                <w:highlight w:val="none"/>
                <w:lang w:val="en-US" w:eastAsia="zh-CN"/>
              </w:rPr>
            </w:pPr>
          </w:p>
        </w:tc>
      </w:tr>
    </w:tbl>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w:t>
      </w:r>
      <w:r>
        <w:rPr>
          <w:rFonts w:hint="eastAsia" w:ascii="仿宋" w:hAnsi="仿宋" w:eastAsia="仿宋" w:cs="仿宋"/>
          <w:color w:val="auto"/>
          <w:szCs w:val="21"/>
          <w:highlight w:val="none"/>
          <w:lang w:val="en-US" w:eastAsia="zh-CN"/>
        </w:rPr>
        <w:t>投标总价应与</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表的总价相一致</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u w:val="single"/>
        </w:rPr>
      </w:pPr>
    </w:p>
    <w:p>
      <w:pPr>
        <w:adjustRightInd w:val="0"/>
        <w:snapToGrid w:val="0"/>
        <w:spacing w:line="360" w:lineRule="auto"/>
        <w:ind w:right="105" w:rightChars="50" w:firstLine="42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p>
    <w:p>
      <w:pPr>
        <w:spacing w:before="319" w:beforeLines="100" w:after="319" w:afterLines="100" w:line="360" w:lineRule="auto"/>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rPr>
        <w:t>分项报价表</w:t>
      </w:r>
    </w:p>
    <w:p>
      <w:pPr>
        <w:adjustRightInd w:val="0"/>
        <w:snapToGrid w:val="0"/>
        <w:spacing w:line="360" w:lineRule="auto"/>
        <w:ind w:right="105" w:rightChars="5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包号：                                                 报价单位（元）：</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79"/>
        <w:gridCol w:w="758"/>
        <w:gridCol w:w="809"/>
        <w:gridCol w:w="680"/>
        <w:gridCol w:w="680"/>
        <w:gridCol w:w="68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产品名称</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型号</w:t>
            </w:r>
          </w:p>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w:t>
            </w: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原产地</w:t>
            </w: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both"/>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制造商</w:t>
            </w:r>
          </w:p>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名称</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单位</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单价</w:t>
            </w: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合</w:t>
            </w:r>
            <w:r>
              <w:rPr>
                <w:rFonts w:hint="eastAsia" w:ascii="仿宋_GB2312" w:hAnsi="仿宋_GB2312" w:eastAsia="仿宋_GB2312" w:cs="仿宋_GB2312"/>
                <w:szCs w:val="21"/>
                <w:highlight w:val="none"/>
              </w:rPr>
              <w:t>价</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1042"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ascii="仿宋_GB2312" w:hAnsi="仿宋_GB2312" w:eastAsia="仿宋_GB2312" w:cs="仿宋_GB2312"/>
                <w:szCs w:val="21"/>
                <w:highlight w:val="none"/>
              </w:rPr>
            </w:pPr>
          </w:p>
        </w:tc>
      </w:tr>
    </w:tbl>
    <w:p>
      <w:pPr>
        <w:pStyle w:val="23"/>
        <w:jc w:val="both"/>
        <w:rPr>
          <w:rFonts w:hint="eastAsia" w:ascii="仿宋" w:hAnsi="仿宋" w:eastAsia="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注：此表中，总价应</w:t>
      </w:r>
      <w:r>
        <w:rPr>
          <w:rFonts w:hint="eastAsia" w:ascii="仿宋" w:hAnsi="仿宋" w:eastAsia="仿宋" w:cs="仿宋"/>
          <w:color w:val="auto"/>
          <w:szCs w:val="21"/>
          <w:highlight w:val="none"/>
          <w:lang w:val="en-US" w:eastAsia="zh-CN"/>
        </w:rPr>
        <w:t>与</w:t>
      </w:r>
      <w:r>
        <w:rPr>
          <w:rFonts w:hint="eastAsia" w:ascii="仿宋" w:hAnsi="仿宋" w:eastAsia="仿宋" w:cs="仿宋"/>
          <w:color w:val="auto"/>
          <w:szCs w:val="21"/>
          <w:highlight w:val="none"/>
        </w:rPr>
        <w:t>报价一览表的响应总价相一致。</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(加盖单位公章):</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法定代表人或其授权委托人</w:t>
      </w:r>
      <w:r>
        <w:rPr>
          <w:rFonts w:hint="eastAsia" w:ascii="仿宋" w:hAnsi="仿宋" w:eastAsia="仿宋" w:cs="仿宋"/>
          <w:color w:val="auto"/>
          <w:highlight w:val="none"/>
        </w:rPr>
        <w:t xml:space="preserve"> (签字或盖章)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adjustRightInd w:val="0"/>
        <w:snapToGrid w:val="0"/>
        <w:spacing w:line="480" w:lineRule="auto"/>
        <w:ind w:right="105" w:rightChars="50"/>
        <w:jc w:val="left"/>
        <w:rPr>
          <w:rFonts w:hint="eastAsia" w:ascii="仿宋" w:hAnsi="仿宋" w:eastAsia="仿宋" w:cs="仿宋"/>
          <w:strike/>
          <w:dstrike w:val="0"/>
          <w:color w:val="auto"/>
          <w:szCs w:val="21"/>
          <w:highlight w:val="none"/>
          <w:u w:val="single"/>
        </w:rPr>
      </w:pPr>
      <w:r>
        <w:rPr>
          <w:rFonts w:hint="eastAsia" w:ascii="仿宋" w:hAnsi="仿宋" w:eastAsia="仿宋" w:cs="仿宋"/>
          <w:color w:val="auto"/>
          <w:szCs w:val="21"/>
          <w:highlight w:val="none"/>
        </w:rPr>
        <w:br w:type="page"/>
      </w:r>
    </w:p>
    <w:p>
      <w:pPr>
        <w:pStyle w:val="3"/>
        <w:adjustRightInd w:val="0"/>
        <w:snapToGrid w:val="0"/>
        <w:spacing w:before="0" w:after="0" w:line="36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法定代表人身份证明书</w:t>
      </w:r>
    </w:p>
    <w:p>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，出生日期：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，现任职务：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名称）的法定代表人。</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（※法定代表人身份证正、反面复印件※）</w:t>
            </w:r>
          </w:p>
        </w:tc>
      </w:tr>
    </w:tbl>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注：身份证复印件如为粘贴的，须在身份证复印件与本页接缝处加盖公章</w:t>
      </w:r>
      <w:r>
        <w:rPr>
          <w:rFonts w:hint="eastAsia" w:ascii="仿宋" w:hAnsi="仿宋" w:eastAsia="仿宋" w:cs="仿宋"/>
          <w:color w:val="auto"/>
          <w:szCs w:val="21"/>
          <w:highlight w:val="none"/>
          <w:lang w:eastAsia="zh-CN"/>
        </w:rPr>
        <w:t>。</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3"/>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pPr>
        <w:spacing w:line="360" w:lineRule="auto"/>
        <w:ind w:firstLine="420" w:firstLineChars="200"/>
        <w:rPr>
          <w:rFonts w:hint="eastAsia" w:ascii="仿宋" w:hAnsi="仿宋" w:eastAsia="仿宋" w:cs="仿宋"/>
          <w:color w:val="auto"/>
          <w:szCs w:val="21"/>
          <w:highlight w:val="none"/>
          <w:u w:val="single"/>
        </w:rPr>
      </w:pP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本人</w:t>
      </w:r>
      <w:r>
        <w:rPr>
          <w:rFonts w:hint="eastAsia" w:ascii="仿宋" w:hAnsi="仿宋" w:eastAsia="仿宋" w:cs="仿宋"/>
          <w:color w:val="auto"/>
          <w:szCs w:val="21"/>
          <w:highlight w:val="none"/>
          <w:u w:val="single"/>
          <w:lang w:val="en-US" w:eastAsia="zh-CN"/>
        </w:rPr>
        <w:t xml:space="preserve">       （姓名）</w:t>
      </w:r>
      <w:r>
        <w:rPr>
          <w:rFonts w:hint="eastAsia" w:ascii="仿宋" w:hAnsi="仿宋" w:eastAsia="仿宋" w:cs="仿宋"/>
          <w:color w:val="auto"/>
          <w:szCs w:val="21"/>
          <w:highlight w:val="none"/>
          <w:lang w:val="en-US" w:eastAsia="zh-CN"/>
        </w:rPr>
        <w:t xml:space="preserve">是 </w:t>
      </w:r>
      <w:r>
        <w:rPr>
          <w:rFonts w:hint="eastAsia" w:ascii="仿宋" w:hAnsi="仿宋" w:eastAsia="仿宋" w:cs="仿宋"/>
          <w:color w:val="auto"/>
          <w:szCs w:val="21"/>
          <w:highlight w:val="none"/>
          <w:u w:val="single"/>
          <w:lang w:val="en-US" w:eastAsia="zh-CN"/>
        </w:rPr>
        <w:t xml:space="preserve">           （投标人名称）</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lang w:val="en-US" w:eastAsia="zh-CN"/>
        </w:rPr>
        <w:t xml:space="preserve">姓名）为我方代理人。代理人根据授权，以我方名义签署、澄清确认、递交、撤回、修改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（项目名称、包号）</w:t>
      </w:r>
      <w:r>
        <w:rPr>
          <w:rFonts w:hint="eastAsia" w:ascii="仿宋" w:hAnsi="仿宋" w:eastAsia="仿宋" w:cs="仿宋"/>
          <w:color w:val="auto"/>
          <w:szCs w:val="21"/>
          <w:highlight w:val="none"/>
          <w:lang w:val="en-US" w:eastAsia="zh-CN"/>
        </w:rPr>
        <w:t>投标文件、签订合同和处理有关事宜，其法律后果由我方承担。</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委托期限：自本委托书签署之日起至投标有效期期满。</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lang w:val="en-US" w:eastAsia="zh-CN"/>
        </w:rPr>
        <w:t>代理人</w:t>
      </w:r>
      <w:r>
        <w:rPr>
          <w:rFonts w:hint="eastAsia" w:ascii="仿宋" w:hAnsi="仿宋" w:eastAsia="仿宋" w:cs="仿宋"/>
          <w:b w:val="0"/>
          <w:bCs/>
          <w:color w:val="auto"/>
          <w:szCs w:val="21"/>
          <w:highlight w:val="none"/>
        </w:rPr>
        <w:t>无转委托</w:t>
      </w:r>
      <w:r>
        <w:rPr>
          <w:rFonts w:hint="eastAsia" w:ascii="仿宋" w:hAnsi="仿宋" w:eastAsia="仿宋" w:cs="仿宋"/>
          <w:b w:val="0"/>
          <w:bCs/>
          <w:color w:val="auto"/>
          <w:szCs w:val="21"/>
          <w:highlight w:val="none"/>
          <w:lang w:val="en-US" w:eastAsia="zh-CN"/>
        </w:rPr>
        <w:t>权</w:t>
      </w:r>
      <w:r>
        <w:rPr>
          <w:rFonts w:hint="eastAsia" w:ascii="仿宋" w:hAnsi="仿宋" w:eastAsia="仿宋" w:cs="仿宋"/>
          <w:color w:val="auto"/>
          <w:szCs w:val="21"/>
          <w:highlight w:val="none"/>
        </w:rPr>
        <w:t>。</w:t>
      </w:r>
    </w:p>
    <w:p>
      <w:pPr>
        <w:spacing w:line="360" w:lineRule="auto"/>
        <w:rPr>
          <w:rFonts w:hint="eastAsia" w:ascii="仿宋" w:hAnsi="仿宋" w:eastAsia="仿宋" w:cs="仿宋"/>
          <w:color w:val="auto"/>
          <w:szCs w:val="21"/>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授权委托人</w:t>
            </w:r>
            <w:r>
              <w:rPr>
                <w:rFonts w:hint="eastAsia" w:ascii="仿宋" w:hAnsi="仿宋" w:eastAsia="仿宋" w:cs="仿宋"/>
                <w:color w:val="auto"/>
                <w:szCs w:val="21"/>
                <w:highlight w:val="none"/>
              </w:rPr>
              <w:t>身份证正、反面复印件※）</w:t>
            </w:r>
          </w:p>
        </w:tc>
      </w:tr>
    </w:tbl>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注：身份证复印件如为粘贴的，须在身份证复印件与本页接缝处加盖公章</w:t>
      </w:r>
      <w:r>
        <w:rPr>
          <w:rFonts w:hint="eastAsia" w:ascii="仿宋" w:hAnsi="仿宋" w:eastAsia="仿宋" w:cs="仿宋"/>
          <w:color w:val="auto"/>
          <w:szCs w:val="21"/>
          <w:highlight w:val="none"/>
          <w:lang w:eastAsia="zh-CN"/>
        </w:rPr>
        <w:t>。</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（加盖单位公章）：</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委托</w:t>
      </w:r>
      <w:r>
        <w:rPr>
          <w:rFonts w:hint="eastAsia" w:ascii="仿宋" w:hAnsi="仿宋" w:eastAsia="仿宋" w:cs="仿宋"/>
          <w:color w:val="auto"/>
          <w:highlight w:val="none"/>
          <w:lang w:val="en-US" w:eastAsia="zh-CN"/>
        </w:rPr>
        <w:t>代理人</w:t>
      </w:r>
      <w:r>
        <w:rPr>
          <w:rFonts w:hint="eastAsia" w:ascii="仿宋" w:hAnsi="仿宋" w:eastAsia="仿宋" w:cs="仿宋"/>
          <w:color w:val="auto"/>
          <w:szCs w:val="21"/>
          <w:highlight w:val="none"/>
        </w:rPr>
        <w:t xml:space="preserve">（签字）：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pStyle w:val="24"/>
        <w:ind w:left="0" w:leftChars="0" w:firstLine="0" w:firstLineChars="0"/>
        <w:rPr>
          <w:rFonts w:hint="eastAsia" w:ascii="仿宋" w:hAnsi="仿宋" w:eastAsia="仿宋" w:cs="仿宋"/>
          <w:color w:val="auto"/>
          <w:spacing w:val="0"/>
          <w:kern w:val="2"/>
          <w:sz w:val="21"/>
          <w:szCs w:val="24"/>
          <w:highlight w:val="none"/>
          <w:u w:val="single"/>
          <w:lang w:val="en-US" w:eastAsia="zh-CN" w:bidi="ar-SA"/>
        </w:rPr>
      </w:pPr>
      <w:r>
        <w:rPr>
          <w:rFonts w:hint="eastAsia" w:ascii="仿宋" w:hAnsi="仿宋" w:eastAsia="仿宋" w:cs="仿宋"/>
          <w:color w:val="auto"/>
          <w:spacing w:val="0"/>
          <w:kern w:val="2"/>
          <w:sz w:val="21"/>
          <w:szCs w:val="24"/>
          <w:highlight w:val="none"/>
          <w:lang w:val="en-US" w:eastAsia="zh-CN" w:bidi="ar-SA"/>
        </w:rPr>
        <w:t>身份证号码：</w:t>
      </w:r>
      <w:r>
        <w:rPr>
          <w:rFonts w:hint="eastAsia" w:ascii="仿宋" w:hAnsi="仿宋" w:eastAsia="仿宋" w:cs="仿宋"/>
          <w:color w:val="auto"/>
          <w:spacing w:val="0"/>
          <w:kern w:val="2"/>
          <w:sz w:val="21"/>
          <w:szCs w:val="24"/>
          <w:highlight w:val="none"/>
          <w:u w:val="single"/>
          <w:lang w:val="en-US" w:eastAsia="zh-CN" w:bidi="ar-SA"/>
        </w:rPr>
        <w:t xml:space="preserve">                </w:t>
      </w: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1.以联合体形式响应的，本授权委托书由联合体牵头人的法定代表人按上述规定签署。</w:t>
      </w: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en-US" w:eastAsia="zh-CN"/>
        </w:rPr>
        <w:t>2.如果由投标人的法定代表人签署投标文件，则不需要提交授权委托书。</w:t>
      </w:r>
      <w:r>
        <w:rPr>
          <w:rFonts w:hint="eastAsia" w:ascii="仿宋" w:hAnsi="仿宋" w:eastAsia="仿宋" w:cs="仿宋"/>
          <w:color w:val="auto"/>
          <w:szCs w:val="21"/>
          <w:highlight w:val="none"/>
        </w:rPr>
        <w:br w:type="page"/>
      </w:r>
    </w:p>
    <w:p>
      <w:pPr>
        <w:pStyle w:val="25"/>
        <w:rPr>
          <w:rFonts w:hint="eastAsia" w:ascii="仿宋" w:hAnsi="仿宋" w:eastAsia="仿宋" w:cs="仿宋"/>
          <w:color w:val="auto"/>
          <w:highlight w:val="none"/>
        </w:rPr>
      </w:pPr>
    </w:p>
    <w:p>
      <w:pPr>
        <w:spacing w:before="319" w:beforeLines="100" w:after="319" w:afterLines="100" w:line="360" w:lineRule="auto"/>
        <w:ind w:right="-21" w:rightChars="-1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（格式自拟）</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pStyle w:val="23"/>
        <w:jc w:val="both"/>
        <w:rPr>
          <w:rFonts w:hint="eastAsia" w:ascii="仿宋" w:hAnsi="仿宋" w:eastAsia="仿宋" w:cs="仿宋"/>
          <w:color w:val="auto"/>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p>
    <w:p>
      <w:pPr>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highlight w:val="none"/>
          <w:u w:val="singl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pStyle w:val="24"/>
        <w:ind w:left="0" w:leftChars="0" w:firstLine="0" w:firstLineChars="0"/>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pPr>
    </w:p>
    <w:p>
      <w:pPr>
        <w:numPr>
          <w:ilvl w:val="0"/>
          <w:numId w:val="7"/>
        </w:numPr>
        <w:spacing w:line="400" w:lineRule="atLeast"/>
        <w:jc w:val="left"/>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rPr>
        <w:br w:type="page"/>
      </w:r>
    </w:p>
    <w:p>
      <w:pPr>
        <w:spacing w:before="319" w:beforeLines="100" w:after="319" w:afterLines="100" w:line="360" w:lineRule="auto"/>
        <w:jc w:val="center"/>
        <w:rPr>
          <w:rFonts w:hint="eastAsia" w:ascii="仿宋" w:hAnsi="仿宋" w:eastAsia="仿宋" w:cs="仿宋"/>
          <w:b/>
          <w:bCs/>
          <w:color w:val="auto"/>
          <w:sz w:val="32"/>
          <w:szCs w:val="32"/>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（格式自拟）</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30"/>
        <w:wordWrap w:val="0"/>
        <w:topLinePunct/>
        <w:spacing w:before="0"/>
        <w:jc w:val="both"/>
        <w:rPr>
          <w:rFonts w:hint="eastAsia" w:ascii="仿宋" w:hAnsi="仿宋" w:eastAsia="仿宋" w:cs="仿宋"/>
          <w:b w:val="0"/>
          <w:bCs/>
          <w:i w:val="0"/>
          <w:iCs w:val="0"/>
          <w:color w:val="auto"/>
          <w:kern w:val="2"/>
          <w:sz w:val="21"/>
          <w:szCs w:val="21"/>
          <w:highlight w:val="none"/>
          <w:lang w:val="en-US" w:eastAsia="zh-CN" w:bidi="ar-SA"/>
        </w:rPr>
      </w:pPr>
    </w:p>
    <w:p>
      <w:pPr>
        <w:pStyle w:val="30"/>
        <w:wordWrap w:val="0"/>
        <w:topLinePunct/>
        <w:spacing w:before="0"/>
        <w:jc w:val="both"/>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注：承诺函后须附附表《拟委任的项目技术人员汇总表》及附件。</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w:t>
      </w:r>
      <w:r>
        <w:rPr>
          <w:rFonts w:hint="eastAsia" w:ascii="仿宋" w:hAnsi="仿宋" w:eastAsia="仿宋" w:cs="仿宋"/>
          <w:color w:val="auto"/>
          <w:highlight w:val="none"/>
          <w:u w:val="single"/>
        </w:rPr>
        <w:t>(签字或盖章)</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15"/>
        <w:rPr>
          <w:rFonts w:hint="eastAsia" w:ascii="仿宋" w:hAnsi="仿宋" w:eastAsia="仿宋" w:cs="仿宋"/>
          <w:b/>
          <w:color w:val="auto"/>
          <w:sz w:val="28"/>
          <w:szCs w:val="28"/>
          <w:highlight w:val="none"/>
        </w:rPr>
      </w:pPr>
    </w:p>
    <w:p>
      <w:pPr>
        <w:rPr>
          <w:rFonts w:hint="eastAsia" w:ascii="仿宋" w:hAnsi="仿宋" w:eastAsia="仿宋" w:cs="仿宋"/>
          <w:color w:val="auto"/>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24"/>
        <w:rPr>
          <w:rFonts w:hint="eastAsia" w:ascii="仿宋" w:hAnsi="仿宋" w:eastAsia="仿宋" w:cs="仿宋"/>
          <w:color w:val="auto"/>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15"/>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附表</w:t>
      </w:r>
    </w:p>
    <w:p>
      <w:pPr>
        <w:pStyle w:val="30"/>
        <w:wordWrap w:val="0"/>
        <w:topLinePunct/>
        <w:spacing w:befor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拟委任的项目</w:t>
      </w:r>
      <w:r>
        <w:rPr>
          <w:rFonts w:hint="eastAsia" w:ascii="仿宋" w:hAnsi="仿宋" w:eastAsia="仿宋" w:cs="仿宋"/>
          <w:color w:val="auto"/>
          <w:sz w:val="21"/>
          <w:szCs w:val="21"/>
          <w:highlight w:val="none"/>
          <w:lang w:val="en-US" w:eastAsia="zh-CN"/>
        </w:rPr>
        <w:t>技术人员</w:t>
      </w:r>
      <w:r>
        <w:rPr>
          <w:rFonts w:hint="eastAsia" w:ascii="仿宋" w:hAnsi="仿宋" w:eastAsia="仿宋" w:cs="仿宋"/>
          <w:color w:val="auto"/>
          <w:sz w:val="21"/>
          <w:szCs w:val="21"/>
          <w:highlight w:val="none"/>
        </w:rPr>
        <w:t>汇总表</w:t>
      </w:r>
    </w:p>
    <w:p>
      <w:pPr>
        <w:wordWrap w:val="0"/>
        <w:topLinePunct/>
        <w:spacing w:line="300" w:lineRule="exact"/>
        <w:jc w:val="center"/>
        <w:rPr>
          <w:rFonts w:hint="eastAsia" w:ascii="仿宋" w:hAnsi="仿宋" w:eastAsia="仿宋" w:cs="仿宋"/>
          <w:color w:val="auto"/>
          <w:sz w:val="21"/>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拟在本项目中担任的职务</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资格证书</w:t>
            </w:r>
            <w:r>
              <w:rPr>
                <w:rFonts w:hint="eastAsia" w:ascii="仿宋" w:hAnsi="仿宋" w:eastAsia="仿宋" w:cs="仿宋"/>
                <w:color w:val="auto"/>
                <w:sz w:val="21"/>
                <w:szCs w:val="21"/>
                <w:highlight w:val="none"/>
              </w:rPr>
              <w:t>类别及注册号</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累计对应岗位的工作年限（</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rPr>
              <w:t>）</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bl>
    <w:p>
      <w:pPr>
        <w:spacing w:before="319" w:beforeLines="100" w:after="319" w:afterLines="100" w:line="480" w:lineRule="exact"/>
        <w:ind w:right="630" w:rightChars="300"/>
        <w:jc w:val="both"/>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本表后须附上述人员的身份证、职称证、资格证复印件。</w:t>
      </w:r>
    </w:p>
    <w:p>
      <w:pPr>
        <w:spacing w:before="319" w:beforeLines="100" w:after="319" w:afterLines="100" w:line="480" w:lineRule="exact"/>
        <w:ind w:right="630" w:rightChars="300"/>
        <w:jc w:val="both"/>
        <w:rPr>
          <w:rFonts w:hint="eastAsia" w:ascii="仿宋" w:hAnsi="仿宋" w:eastAsia="仿宋" w:cs="仿宋"/>
          <w:b/>
          <w:color w:val="auto"/>
          <w:sz w:val="21"/>
          <w:szCs w:val="21"/>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3"/>
        <w:adjustRightInd w:val="0"/>
        <w:snapToGrid w:val="0"/>
        <w:spacing w:before="0" w:after="0" w:line="240" w:lineRule="auto"/>
        <w:jc w:val="left"/>
        <w:rPr>
          <w:rFonts w:hint="eastAsia" w:ascii="仿宋" w:hAnsi="仿宋" w:eastAsia="仿宋" w:cs="仿宋"/>
          <w:color w:val="auto"/>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参加</w:t>
      </w:r>
      <w:r>
        <w:rPr>
          <w:rFonts w:hint="eastAsia" w:ascii="仿宋" w:hAnsi="仿宋" w:eastAsia="仿宋" w:cs="仿宋"/>
          <w:b/>
          <w:bCs/>
          <w:color w:val="auto"/>
          <w:sz w:val="32"/>
          <w:szCs w:val="32"/>
          <w:highlight w:val="none"/>
          <w:lang w:eastAsia="zh-CN"/>
        </w:rPr>
        <w:t>招标活动</w:t>
      </w:r>
      <w:r>
        <w:rPr>
          <w:rFonts w:hint="eastAsia" w:ascii="仿宋" w:hAnsi="仿宋" w:eastAsia="仿宋" w:cs="仿宋"/>
          <w:b/>
          <w:bCs/>
          <w:color w:val="auto"/>
          <w:sz w:val="32"/>
          <w:szCs w:val="32"/>
          <w:highlight w:val="none"/>
        </w:rPr>
        <w:t>前3年内在经营活动中没有重大违法记录的书面声明</w:t>
      </w:r>
    </w:p>
    <w:p>
      <w:pPr>
        <w:spacing w:line="360" w:lineRule="auto"/>
        <w:ind w:right="630" w:rightChars="300"/>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single"/>
        </w:rPr>
        <w:t>（</w:t>
      </w:r>
      <w:r>
        <w:rPr>
          <w:rFonts w:hint="eastAsia" w:ascii="仿宋" w:hAnsi="仿宋" w:eastAsia="仿宋" w:cs="仿宋"/>
          <w:b/>
          <w:color w:val="auto"/>
          <w:szCs w:val="21"/>
          <w:highlight w:val="none"/>
          <w:u w:val="single"/>
          <w:lang w:eastAsia="zh-CN"/>
        </w:rPr>
        <w:t>招标人</w:t>
      </w:r>
      <w:r>
        <w:rPr>
          <w:rFonts w:hint="eastAsia" w:ascii="仿宋" w:hAnsi="仿宋" w:eastAsia="仿宋" w:cs="仿宋"/>
          <w:b/>
          <w:color w:val="auto"/>
          <w:szCs w:val="21"/>
          <w:highlight w:val="none"/>
          <w:u w:val="single"/>
        </w:rPr>
        <w:t xml:space="preserve">名称） </w:t>
      </w:r>
      <w:r>
        <w:rPr>
          <w:rFonts w:hint="eastAsia" w:ascii="仿宋" w:hAnsi="仿宋" w:eastAsia="仿宋" w:cs="仿宋"/>
          <w:b/>
          <w:color w:val="auto"/>
          <w:szCs w:val="21"/>
          <w:highlight w:val="none"/>
        </w:rPr>
        <w:t xml:space="preserve"> ：</w:t>
      </w:r>
    </w:p>
    <w:p>
      <w:pPr>
        <w:spacing w:line="360" w:lineRule="auto"/>
        <w:ind w:right="-21" w:rightChars="-10" w:firstLine="493" w:firstLineChars="235"/>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在本项目提交</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截止时间前，我单位参加本次</w:t>
      </w:r>
      <w:r>
        <w:rPr>
          <w:rFonts w:hint="eastAsia" w:ascii="仿宋" w:hAnsi="仿宋" w:eastAsia="仿宋" w:cs="仿宋"/>
          <w:color w:val="auto"/>
          <w:szCs w:val="21"/>
          <w:highlight w:val="none"/>
          <w:lang w:eastAsia="zh-CN"/>
        </w:rPr>
        <w:t>招标活动</w:t>
      </w:r>
      <w:r>
        <w:rPr>
          <w:rFonts w:hint="eastAsia" w:ascii="仿宋" w:hAnsi="仿宋" w:eastAsia="仿宋" w:cs="仿宋"/>
          <w:color w:val="auto"/>
          <w:szCs w:val="21"/>
          <w:highlight w:val="none"/>
        </w:rPr>
        <w:t>前3年内在经营活动中没有因违法经营受到刑事处罚或者责令停产停业、吊销许可证或者执照、较大数额罚款等行政处罚的重大违法记录；通过</w:t>
      </w:r>
      <w:r>
        <w:rPr>
          <w:rFonts w:hint="eastAsia" w:ascii="仿宋" w:hAnsi="仿宋" w:eastAsia="仿宋" w:cs="仿宋"/>
          <w:color w:val="auto"/>
          <w:szCs w:val="21"/>
          <w:highlight w:val="none"/>
          <w:lang w:val="en-US" w:eastAsia="zh-CN"/>
        </w:rPr>
        <w:t>国家企业信用信息公示系统</w:t>
      </w:r>
      <w:r>
        <w:rPr>
          <w:rFonts w:hint="eastAsia" w:ascii="仿宋" w:hAnsi="仿宋" w:eastAsia="仿宋" w:cs="仿宋"/>
          <w:color w:val="auto"/>
          <w:szCs w:val="21"/>
          <w:highlight w:val="none"/>
        </w:rPr>
        <w:t>（网站</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w:t>
      </w:r>
      <w:r>
        <w:rPr>
          <w:rFonts w:hint="eastAsia" w:ascii="仿宋" w:hAnsi="仿宋" w:eastAsia="仿宋" w:cs="仿宋"/>
          <w:color w:val="auto"/>
          <w:szCs w:val="21"/>
          <w:highlight w:val="none"/>
        </w:rPr>
        <w:t>）、“信用中国”(网站：www.creditchina.gov.cn/)等渠道查询，我单位未被列入严重违法失信</w:t>
      </w:r>
      <w:r>
        <w:rPr>
          <w:rFonts w:hint="eastAsia" w:ascii="仿宋" w:hAnsi="仿宋" w:eastAsia="仿宋" w:cs="仿宋"/>
          <w:color w:val="auto"/>
          <w:szCs w:val="21"/>
          <w:highlight w:val="none"/>
          <w:lang w:val="en-US" w:eastAsia="zh-CN"/>
        </w:rPr>
        <w:t>企业</w:t>
      </w:r>
      <w:r>
        <w:rPr>
          <w:rFonts w:hint="eastAsia" w:ascii="仿宋" w:hAnsi="仿宋" w:eastAsia="仿宋" w:cs="仿宋"/>
          <w:color w:val="auto"/>
          <w:szCs w:val="21"/>
          <w:highlight w:val="none"/>
        </w:rPr>
        <w:t>名单、失信被执行人</w:t>
      </w:r>
      <w:r>
        <w:rPr>
          <w:rFonts w:hint="eastAsia" w:ascii="仿宋" w:hAnsi="仿宋" w:eastAsia="仿宋" w:cs="仿宋"/>
          <w:color w:val="auto"/>
          <w:szCs w:val="21"/>
          <w:highlight w:val="none"/>
          <w:lang w:val="en-US" w:eastAsia="zh-CN"/>
        </w:rPr>
        <w:t>名单</w:t>
      </w:r>
      <w:r>
        <w:rPr>
          <w:rFonts w:hint="eastAsia" w:ascii="仿宋" w:hAnsi="仿宋" w:eastAsia="仿宋" w:cs="仿宋"/>
          <w:color w:val="auto"/>
          <w:szCs w:val="21"/>
          <w:highlight w:val="none"/>
        </w:rPr>
        <w:t>。</w:t>
      </w:r>
    </w:p>
    <w:p>
      <w:pPr>
        <w:tabs>
          <w:tab w:val="left" w:pos="10065"/>
        </w:tabs>
        <w:spacing w:line="360" w:lineRule="auto"/>
        <w:ind w:right="-21" w:rightChars="-10" w:firstLine="371" w:firstLineChars="177"/>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如发现我单位提供的声明函不实时，我单位将按照有关提供虚假材料的规定，接受处罚。</w:t>
      </w:r>
    </w:p>
    <w:p>
      <w:pPr>
        <w:spacing w:line="360" w:lineRule="auto"/>
        <w:ind w:right="1050" w:rightChars="5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特此声明。</w:t>
      </w:r>
    </w:p>
    <w:p>
      <w:pPr>
        <w:tabs>
          <w:tab w:val="left" w:pos="10065"/>
        </w:tabs>
        <w:spacing w:line="360" w:lineRule="auto"/>
        <w:ind w:right="-21" w:rightChars="-10" w:firstLine="371" w:firstLineChars="177"/>
        <w:rPr>
          <w:rFonts w:hint="eastAsia" w:ascii="仿宋" w:hAnsi="仿宋" w:eastAsia="仿宋" w:cs="仿宋"/>
          <w:color w:val="auto"/>
          <w:szCs w:val="21"/>
          <w:highlight w:val="none"/>
        </w:rPr>
      </w:pPr>
    </w:p>
    <w:p>
      <w:pPr>
        <w:tabs>
          <w:tab w:val="left" w:pos="10065"/>
        </w:tabs>
        <w:spacing w:line="360" w:lineRule="auto"/>
        <w:ind w:right="-21" w:rightChars="-10" w:firstLine="371" w:firstLineChars="17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附件：投标人在国家企业信用信息公示系统中</w:t>
      </w:r>
      <w:r>
        <w:rPr>
          <w:rFonts w:hint="eastAsia" w:ascii="仿宋" w:hAnsi="仿宋" w:eastAsia="仿宋" w:cs="仿宋"/>
          <w:color w:val="auto"/>
          <w:szCs w:val="21"/>
          <w:highlight w:val="none"/>
        </w:rPr>
        <w:t>未被列入严重违法失信</w:t>
      </w:r>
      <w:r>
        <w:rPr>
          <w:rFonts w:hint="eastAsia" w:ascii="仿宋" w:hAnsi="仿宋" w:eastAsia="仿宋" w:cs="仿宋"/>
          <w:color w:val="auto"/>
          <w:szCs w:val="21"/>
          <w:highlight w:val="none"/>
          <w:lang w:val="en-US" w:eastAsia="zh-CN"/>
        </w:rPr>
        <w:t>企业</w:t>
      </w:r>
      <w:r>
        <w:rPr>
          <w:rFonts w:hint="eastAsia" w:ascii="仿宋" w:hAnsi="仿宋" w:eastAsia="仿宋" w:cs="仿宋"/>
          <w:color w:val="auto"/>
          <w:szCs w:val="21"/>
          <w:highlight w:val="none"/>
        </w:rPr>
        <w:t>名单、</w:t>
      </w:r>
      <w:r>
        <w:rPr>
          <w:rFonts w:hint="eastAsia" w:ascii="仿宋" w:hAnsi="仿宋" w:eastAsia="仿宋" w:cs="仿宋"/>
          <w:color w:val="auto"/>
          <w:szCs w:val="21"/>
          <w:highlight w:val="none"/>
          <w:lang w:val="en-US" w:eastAsia="zh-CN"/>
        </w:rPr>
        <w:t>在“</w:t>
      </w:r>
      <w:r>
        <w:rPr>
          <w:rFonts w:hint="eastAsia" w:ascii="仿宋" w:hAnsi="仿宋" w:eastAsia="仿宋" w:cs="仿宋"/>
          <w:color w:val="auto"/>
          <w:szCs w:val="21"/>
          <w:highlight w:val="none"/>
        </w:rPr>
        <w:t>信用中国”</w:t>
      </w:r>
      <w:r>
        <w:rPr>
          <w:rFonts w:hint="eastAsia" w:ascii="仿宋" w:hAnsi="仿宋" w:eastAsia="仿宋" w:cs="仿宋"/>
          <w:color w:val="auto"/>
          <w:szCs w:val="21"/>
          <w:highlight w:val="none"/>
          <w:lang w:val="en-US" w:eastAsia="zh-CN"/>
        </w:rPr>
        <w:t>网站中未被列入</w:t>
      </w:r>
      <w:r>
        <w:rPr>
          <w:rFonts w:hint="eastAsia" w:ascii="仿宋" w:hAnsi="仿宋" w:eastAsia="仿宋" w:cs="仿宋"/>
          <w:color w:val="auto"/>
          <w:szCs w:val="21"/>
          <w:highlight w:val="none"/>
        </w:rPr>
        <w:t>失信被执行人</w:t>
      </w:r>
      <w:r>
        <w:rPr>
          <w:rFonts w:hint="eastAsia" w:ascii="仿宋" w:hAnsi="仿宋" w:eastAsia="仿宋" w:cs="仿宋"/>
          <w:color w:val="auto"/>
          <w:szCs w:val="21"/>
          <w:highlight w:val="none"/>
          <w:lang w:val="en-US" w:eastAsia="zh-CN"/>
        </w:rPr>
        <w:t>名单的网页截图复印件</w:t>
      </w:r>
      <w:r>
        <w:rPr>
          <w:rFonts w:hint="eastAsia" w:ascii="仿宋" w:hAnsi="仿宋" w:eastAsia="仿宋" w:cs="仿宋"/>
          <w:color w:val="auto"/>
          <w:szCs w:val="21"/>
          <w:highlight w:val="none"/>
        </w:rPr>
        <w:t>。</w:t>
      </w:r>
    </w:p>
    <w:p>
      <w:pPr>
        <w:spacing w:before="159" w:beforeLines="50" w:after="159" w:afterLines="50" w:line="400" w:lineRule="exact"/>
        <w:ind w:right="1050" w:rightChars="500" w:firstLine="420" w:firstLineChars="200"/>
        <w:rPr>
          <w:rFonts w:hint="eastAsia" w:ascii="仿宋" w:hAnsi="仿宋" w:eastAsia="仿宋" w:cs="仿宋"/>
          <w:color w:val="auto"/>
          <w:szCs w:val="21"/>
          <w:highlight w:val="none"/>
        </w:rPr>
      </w:pPr>
    </w:p>
    <w:p>
      <w:pPr>
        <w:spacing w:line="360" w:lineRule="exact"/>
        <w:ind w:left="1050" w:leftChars="500" w:right="1050" w:rightChars="500" w:firstLine="420" w:firstLineChars="200"/>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wordWrap w:val="0"/>
        <w:adjustRightInd w:val="0"/>
        <w:snapToGrid w:val="0"/>
        <w:spacing w:line="360" w:lineRule="auto"/>
        <w:ind w:right="105" w:rightChars="50"/>
        <w:rPr>
          <w:rFonts w:hint="eastAsia" w:ascii="仿宋" w:hAnsi="仿宋" w:eastAsia="仿宋" w:cs="仿宋"/>
          <w:color w:val="auto"/>
          <w:szCs w:val="21"/>
          <w:highlight w:val="none"/>
          <w:u w:val="singl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关联单位说明</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单位法定代表人为同一人的其他单位；</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存在直接控股、管理关系的其他单位。</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3"/>
        <w:adjustRightInd w:val="0"/>
        <w:snapToGrid w:val="0"/>
        <w:spacing w:before="0" w:after="0" w:line="240" w:lineRule="auto"/>
        <w:jc w:val="left"/>
        <w:rPr>
          <w:rFonts w:hint="eastAsia" w:ascii="仿宋" w:hAnsi="仿宋" w:eastAsia="仿宋" w:cs="仿宋"/>
          <w:color w:val="auto"/>
          <w:sz w:val="28"/>
          <w:szCs w:val="28"/>
          <w:highlight w:val="none"/>
          <w:lang w:eastAsia="zh-CN"/>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反商业贿赂承诺书</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公</w:t>
      </w:r>
      <w:r>
        <w:rPr>
          <w:rFonts w:hint="eastAsia" w:ascii="仿宋" w:hAnsi="仿宋" w:eastAsia="仿宋" w:cs="仿宋"/>
          <w:color w:val="auto"/>
          <w:highlight w:val="none"/>
        </w:rPr>
        <w:t>司承诺：</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招标活动</w:t>
      </w:r>
      <w:r>
        <w:rPr>
          <w:rFonts w:hint="eastAsia" w:ascii="仿宋" w:hAnsi="仿宋" w:eastAsia="仿宋" w:cs="仿宋"/>
          <w:color w:val="auto"/>
          <w:szCs w:val="21"/>
          <w:highlight w:val="none"/>
        </w:rPr>
        <w:t>中，我公司保证做到：</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一、公平竞争参加本次</w:t>
      </w:r>
      <w:r>
        <w:rPr>
          <w:rFonts w:hint="eastAsia" w:ascii="仿宋" w:hAnsi="仿宋" w:eastAsia="仿宋" w:cs="仿宋"/>
          <w:color w:val="auto"/>
          <w:szCs w:val="21"/>
          <w:highlight w:val="none"/>
          <w:lang w:val="en-US" w:eastAsia="zh-CN"/>
        </w:rPr>
        <w:t>招标活动</w:t>
      </w:r>
      <w:r>
        <w:rPr>
          <w:rFonts w:hint="eastAsia" w:ascii="仿宋" w:hAnsi="仿宋" w:eastAsia="仿宋" w:cs="仿宋"/>
          <w:color w:val="auto"/>
          <w:szCs w:val="21"/>
          <w:highlight w:val="none"/>
        </w:rPr>
        <w:t>。</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二、杜绝任何形式的商业贿赂行为。不向</w:t>
      </w:r>
      <w:r>
        <w:rPr>
          <w:rFonts w:hint="eastAsia" w:ascii="仿宋" w:hAnsi="仿宋" w:eastAsia="仿宋" w:cs="仿宋"/>
          <w:color w:val="auto"/>
          <w:szCs w:val="21"/>
          <w:highlight w:val="none"/>
          <w:lang w:eastAsia="zh-CN"/>
        </w:rPr>
        <w:t>招标人</w:t>
      </w:r>
      <w:r>
        <w:rPr>
          <w:rFonts w:hint="eastAsia" w:ascii="仿宋" w:hAnsi="仿宋" w:eastAsia="仿宋" w:cs="仿宋"/>
          <w:color w:val="auto"/>
          <w:szCs w:val="21"/>
          <w:highlight w:val="none"/>
        </w:rPr>
        <w:t>工作人员、评审专家及其亲属提供礼品礼金、有价证券、购物券、回扣、佣金、咨询费、劳务费、赞助费、宣传费、宴请；不为其报销各种消费凭证，不支付其旅游、娱乐等费用。</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三、若出现上述行为，我公司及参与</w:t>
      </w: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的工作人员愿意接受按照国家法律法规等有关规定给予的处罚。</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before="319" w:beforeLines="100" w:after="319" w:afterLines="100" w:line="360" w:lineRule="auto"/>
        <w:jc w:val="center"/>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Cs w:val="21"/>
          <w:highlight w:val="none"/>
        </w:rPr>
        <w:br w:type="page"/>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lang w:val="en-US" w:eastAsia="zh-CN"/>
        </w:rPr>
        <w:t>资格要求证明材料</w:t>
      </w:r>
    </w:p>
    <w:p>
      <w:pPr>
        <w:spacing w:before="319" w:beforeLines="100" w:after="319" w:afterLines="100" w:line="360" w:lineRule="auto"/>
        <w:jc w:val="center"/>
        <w:rPr>
          <w:rFonts w:hint="eastAsia" w:ascii="仿宋" w:hAnsi="仿宋" w:eastAsia="仿宋" w:cs="仿宋"/>
          <w:b w:val="0"/>
          <w:bCs/>
          <w:color w:val="auto"/>
          <w:sz w:val="21"/>
          <w:szCs w:val="21"/>
          <w:highlight w:val="none"/>
          <w:u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营业执照营业范围应当具有“办公设备”或“家具”</w:t>
      </w:r>
      <w:r>
        <w:rPr>
          <w:rFonts w:hint="eastAsia" w:ascii="仿宋" w:hAnsi="仿宋" w:eastAsia="仿宋" w:cs="仿宋"/>
          <w:b/>
          <w:bCs/>
          <w:color w:val="auto"/>
          <w:sz w:val="24"/>
          <w:szCs w:val="24"/>
          <w:highlight w:val="none"/>
          <w:lang w:eastAsia="zh-CN"/>
        </w:rPr>
        <w:t>）</w:t>
      </w:r>
    </w:p>
    <w:p>
      <w:pPr>
        <w:pStyle w:val="23"/>
        <w:jc w:val="both"/>
        <w:rPr>
          <w:rFonts w:hint="eastAsia" w:ascii="仿宋" w:hAnsi="仿宋" w:eastAsia="仿宋" w:cs="仿宋"/>
          <w:b w:val="0"/>
          <w:bCs/>
          <w:color w:val="auto"/>
          <w:sz w:val="21"/>
          <w:szCs w:val="21"/>
          <w:highlight w:val="none"/>
          <w:u w:val="none"/>
          <w:lang w:val="en-US" w:eastAsia="zh-CN"/>
        </w:rPr>
      </w:pPr>
    </w:p>
    <w:p>
      <w:pPr>
        <w:pStyle w:val="23"/>
        <w:jc w:val="both"/>
        <w:rPr>
          <w:rFonts w:hint="eastAsia" w:ascii="仿宋" w:hAnsi="仿宋" w:eastAsia="仿宋" w:cs="仿宋"/>
          <w:b w:val="0"/>
          <w:bCs/>
          <w:color w:val="auto"/>
          <w:sz w:val="21"/>
          <w:szCs w:val="21"/>
          <w:highlight w:val="none"/>
          <w:u w:val="none"/>
          <w:lang w:val="en-US" w:eastAsia="zh-CN"/>
        </w:rPr>
      </w:pPr>
      <w:r>
        <w:rPr>
          <w:rFonts w:hint="eastAsia" w:ascii="仿宋" w:hAnsi="仿宋" w:eastAsia="仿宋" w:cs="仿宋"/>
          <w:b w:val="0"/>
          <w:bCs/>
          <w:color w:val="auto"/>
          <w:sz w:val="21"/>
          <w:szCs w:val="21"/>
          <w:highlight w:val="none"/>
          <w:u w:val="none"/>
          <w:lang w:val="en-US" w:eastAsia="zh-CN"/>
        </w:rPr>
        <w:t>说明：附营业执照，并加盖单位公章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single"/>
        </w:rPr>
      </w:pPr>
    </w:p>
    <w:p>
      <w:pPr>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br w:type="page"/>
      </w:r>
    </w:p>
    <w:p>
      <w:pPr>
        <w:pStyle w:val="3"/>
        <w:adjustRightInd w:val="0"/>
        <w:snapToGrid w:val="0"/>
        <w:spacing w:before="0" w:after="0" w:line="240" w:lineRule="auto"/>
        <w:jc w:val="left"/>
        <w:rPr>
          <w:rFonts w:hint="eastAsia" w:ascii="仿宋" w:hAnsi="仿宋" w:eastAsia="仿宋" w:cs="仿宋"/>
          <w:color w:val="auto"/>
          <w:sz w:val="28"/>
          <w:szCs w:val="28"/>
          <w:highlight w:val="none"/>
          <w:lang w:val="en-US" w:eastAsia="zh-CN"/>
        </w:rPr>
      </w:pPr>
    </w:p>
    <w:p>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实施方案</w:t>
      </w:r>
    </w:p>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投标人应按以下要点编制实施方案，契合项目实际，突出重点，抓住关键。</w:t>
      </w:r>
    </w:p>
    <w:p>
      <w:pPr>
        <w:rPr>
          <w:rFonts w:hint="eastAsia" w:ascii="仿宋" w:hAnsi="仿宋" w:eastAsia="仿宋" w:cs="仿宋"/>
          <w:color w:val="auto"/>
          <w:szCs w:val="21"/>
          <w:highlight w:val="none"/>
          <w:lang w:val="en-US" w:eastAsia="zh-CN"/>
        </w:rPr>
      </w:pP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Cs w:val="21"/>
          <w:highlight w:val="none"/>
          <w:lang w:val="en-US" w:eastAsia="zh-CN"/>
        </w:rPr>
        <w:t>1.XXXX</w:t>
      </w:r>
      <w:r>
        <w:rPr>
          <w:rStyle w:val="21"/>
          <w:rFonts w:hint="eastAsia" w:ascii="仿宋" w:hAnsi="仿宋" w:eastAsia="仿宋" w:cs="仿宋"/>
          <w:b/>
          <w:bCs/>
          <w:color w:val="auto"/>
          <w:sz w:val="28"/>
          <w:szCs w:val="28"/>
          <w:highlight w:val="none"/>
          <w:lang w:val="en-US" w:eastAsia="zh-CN"/>
        </w:rPr>
        <w:footnoteReference w:id="1"/>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br w:type="page"/>
      </w:r>
    </w:p>
    <w:p>
      <w:pPr>
        <w:spacing w:before="319" w:beforeLines="100" w:after="319" w:afterLines="10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投标文件评审索引表</w:t>
      </w:r>
    </w:p>
    <w:p>
      <w:pPr>
        <w:rPr>
          <w:rFonts w:hint="eastAsia" w:ascii="仿宋" w:hAnsi="仿宋" w:eastAsia="仿宋" w:cs="仿宋"/>
          <w:color w:val="auto"/>
          <w:szCs w:val="21"/>
          <w:highlight w:val="none"/>
        </w:rPr>
      </w:pPr>
    </w:p>
    <w:tbl>
      <w:tblPr>
        <w:tblStyle w:val="16"/>
        <w:tblW w:w="80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3189"/>
        <w:gridCol w:w="1808"/>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189"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评审因素</w:t>
            </w:r>
          </w:p>
        </w:tc>
        <w:tc>
          <w:tcPr>
            <w:tcW w:w="1808" w:type="dxa"/>
            <w:tcBorders>
              <w:lef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满足评审情况说明</w:t>
            </w:r>
          </w:p>
        </w:tc>
        <w:tc>
          <w:tcPr>
            <w:tcW w:w="1144"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页码索引</w:t>
            </w:r>
          </w:p>
        </w:tc>
        <w:tc>
          <w:tcPr>
            <w:tcW w:w="1144" w:type="dxa"/>
            <w:tcBorders>
              <w:left w:val="single" w:color="auto" w:sz="4" w:space="0"/>
              <w:right w:val="single" w:color="auto" w:sz="4" w:space="0"/>
            </w:tcBorders>
            <w:vAlign w:val="center"/>
          </w:tcPr>
          <w:p>
            <w:pPr>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bl>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pStyle w:val="7"/>
        <w:spacing w:line="240" w:lineRule="auto"/>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名称（加盖单位公章）：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pStyle w:val="24"/>
        <w:ind w:left="0" w:leftChars="0" w:firstLine="0" w:firstLineChars="0"/>
        <w:rPr>
          <w:rFonts w:hint="eastAsia" w:ascii="仿宋" w:hAnsi="仿宋" w:eastAsia="仿宋" w:cs="仿宋"/>
          <w:color w:val="auto"/>
          <w:highlight w:val="none"/>
        </w:rPr>
      </w:pPr>
    </w:p>
    <w:p>
      <w:pPr>
        <w:pStyle w:val="24"/>
        <w:ind w:left="0" w:leftChars="0" w:firstLine="0" w:firstLineChars="0"/>
        <w:rPr>
          <w:rFonts w:hint="eastAsia" w:ascii="仿宋" w:hAnsi="仿宋" w:eastAsia="仿宋" w:cs="仿宋"/>
          <w:color w:val="auto"/>
          <w:highlight w:val="none"/>
        </w:rPr>
      </w:pPr>
    </w:p>
    <w:sectPr>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33</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3"/>
        <w:snapToGrid w:val="0"/>
        <w:rPr>
          <w:rFonts w:hint="default" w:eastAsia="宋体"/>
          <w:lang w:val="en-US" w:eastAsia="zh-CN"/>
        </w:rPr>
      </w:pPr>
      <w:r>
        <w:rPr>
          <w:rStyle w:val="21"/>
        </w:rPr>
        <w:footnoteRef/>
      </w:r>
      <w:r>
        <w:t xml:space="preserve"> </w:t>
      </w:r>
      <w:r>
        <w:rPr>
          <w:rFonts w:hint="eastAsia"/>
          <w:lang w:val="en-US" w:eastAsia="zh-CN"/>
        </w:rPr>
        <w:t>本章第16.1款要求在递交投标文件截止时间前递交纸质投标文件的，投标人中标后无需再次提交。</w:t>
      </w:r>
    </w:p>
  </w:footnote>
  <w:footnote w:id="1">
    <w:p>
      <w:pPr>
        <w:pStyle w:val="13"/>
        <w:snapToGrid w:val="0"/>
        <w:rPr>
          <w:rFonts w:hint="default" w:eastAsia="宋体"/>
          <w:lang w:val="en-US" w:eastAsia="zh-CN"/>
        </w:rPr>
      </w:pPr>
      <w:r>
        <w:rPr>
          <w:rStyle w:val="21"/>
        </w:rPr>
        <w:footnoteRef/>
      </w:r>
      <w:r>
        <w:t xml:space="preserve"> </w:t>
      </w:r>
      <w:r>
        <w:rPr>
          <w:rFonts w:hint="eastAsia"/>
          <w:lang w:val="en-US" w:eastAsia="zh-CN"/>
        </w:rPr>
        <w:t>招标人根据评审因素编写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eastAsia="Times New Roman"/>
        <w:color w:val="000000"/>
        <w:kern w:val="0"/>
        <w:sz w:val="24"/>
        <w:lang w:eastAsia="en-US" w:bidi="en-US"/>
      </w:rPr>
    </w:pPr>
    <w:r>
      <w:rPr>
        <w:rFonts w:eastAsia="Times New Roman"/>
        <w:color w:val="000000"/>
        <w:kern w:val="0"/>
        <w:sz w:val="24"/>
        <w:lang w:eastAsia="en-US" w:bidi="en-US"/>
      </w:rPr>
      <mc:AlternateContent>
        <mc:Choice Requires="wps">
          <w:drawing>
            <wp:anchor distT="0" distB="0" distL="114300" distR="114300" simplePos="0" relativeHeight="251660288" behindDoc="1" locked="0" layoutInCell="1" allowOverlap="1">
              <wp:simplePos x="0" y="0"/>
              <wp:positionH relativeFrom="page">
                <wp:posOffset>1021715</wp:posOffset>
              </wp:positionH>
              <wp:positionV relativeFrom="page">
                <wp:posOffset>736600</wp:posOffset>
              </wp:positionV>
              <wp:extent cx="542861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42861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80.45pt;margin-top:58pt;height:0pt;width:427.45pt;mso-position-horizontal-relative:page;mso-position-vertical-relative:page;z-index:-251656192;mso-width-relative:page;mso-height-relative:page;" filled="f" stroked="t" coordsize="21600,21600" o:gfxdata="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ucMnNQAAAAMAQAADwAAAAAAAAABACAAAAAiAAAAZHJzL2Rv&#10;d25yZXYueG1sUEsBAhQAFAAAAAgAh07iQF+mTsLMAQAAeAMAAA4AAAAAAAAAAQAgAAAAIwEAAGRy&#10;cy9lMm9Eb2MueG1sUEsFBgAAAAAGAAYAWQEAAGE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AD287"/>
    <w:multiLevelType w:val="singleLevel"/>
    <w:tmpl w:val="A19AD287"/>
    <w:lvl w:ilvl="0" w:tentative="0">
      <w:start w:val="1"/>
      <w:numFmt w:val="decimal"/>
      <w:suff w:val="nothing"/>
      <w:lvlText w:val="（%1）"/>
      <w:lvlJc w:val="left"/>
      <w:pPr>
        <w:ind w:left="210" w:leftChars="0" w:firstLine="0" w:firstLineChars="0"/>
      </w:pPr>
    </w:lvl>
  </w:abstractNum>
  <w:abstractNum w:abstractNumId="1">
    <w:nsid w:val="A812EE47"/>
    <w:multiLevelType w:val="singleLevel"/>
    <w:tmpl w:val="A812EE47"/>
    <w:lvl w:ilvl="0" w:tentative="0">
      <w:start w:val="1"/>
      <w:numFmt w:val="decimal"/>
      <w:lvlText w:val="%1."/>
      <w:lvlJc w:val="left"/>
      <w:pPr>
        <w:tabs>
          <w:tab w:val="left" w:pos="312"/>
        </w:tabs>
      </w:pPr>
    </w:lvl>
  </w:abstractNum>
  <w:abstractNum w:abstractNumId="2">
    <w:nsid w:val="DFEFFF38"/>
    <w:multiLevelType w:val="singleLevel"/>
    <w:tmpl w:val="DFEFFF38"/>
    <w:lvl w:ilvl="0" w:tentative="0">
      <w:start w:val="6"/>
      <w:numFmt w:val="decimal"/>
      <w:suff w:val="nothing"/>
      <w:lvlText w:val="（%1）"/>
      <w:lvlJc w:val="left"/>
    </w:lvl>
  </w:abstractNum>
  <w:abstractNum w:abstractNumId="3">
    <w:nsid w:val="F647CFD7"/>
    <w:multiLevelType w:val="singleLevel"/>
    <w:tmpl w:val="F647CFD7"/>
    <w:lvl w:ilvl="0" w:tentative="0">
      <w:start w:val="1"/>
      <w:numFmt w:val="decimal"/>
      <w:lvlText w:val="%1."/>
      <w:lvlJc w:val="left"/>
      <w:pPr>
        <w:tabs>
          <w:tab w:val="left" w:pos="312"/>
        </w:tabs>
      </w:pPr>
    </w:lvl>
  </w:abstractNum>
  <w:abstractNum w:abstractNumId="4">
    <w:nsid w:val="2769714F"/>
    <w:multiLevelType w:val="singleLevel"/>
    <w:tmpl w:val="2769714F"/>
    <w:lvl w:ilvl="0" w:tentative="0">
      <w:start w:val="1"/>
      <w:numFmt w:val="decimal"/>
      <w:suff w:val="space"/>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7D72619C"/>
    <w:multiLevelType w:val="multilevel"/>
    <w:tmpl w:val="7D72619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zUyODQ4MjRmNTYzNjdmZThlMmM3OThlZTNjOTMifQ=="/>
  </w:docVars>
  <w:rsids>
    <w:rsidRoot w:val="34E02B63"/>
    <w:rsid w:val="00362036"/>
    <w:rsid w:val="003D0404"/>
    <w:rsid w:val="003D4663"/>
    <w:rsid w:val="004D066F"/>
    <w:rsid w:val="0059115B"/>
    <w:rsid w:val="00591EE5"/>
    <w:rsid w:val="00812D14"/>
    <w:rsid w:val="00883F7A"/>
    <w:rsid w:val="00A47979"/>
    <w:rsid w:val="00AE30B0"/>
    <w:rsid w:val="00B46918"/>
    <w:rsid w:val="00DA538B"/>
    <w:rsid w:val="00DF3633"/>
    <w:rsid w:val="010158D6"/>
    <w:rsid w:val="010F233B"/>
    <w:rsid w:val="0119556C"/>
    <w:rsid w:val="017E2A82"/>
    <w:rsid w:val="01883499"/>
    <w:rsid w:val="018A7679"/>
    <w:rsid w:val="01AD54AD"/>
    <w:rsid w:val="01AF466F"/>
    <w:rsid w:val="01D7130E"/>
    <w:rsid w:val="01DF2FD2"/>
    <w:rsid w:val="01EB4B9B"/>
    <w:rsid w:val="01F571E8"/>
    <w:rsid w:val="01F84CEE"/>
    <w:rsid w:val="02013704"/>
    <w:rsid w:val="021A09FD"/>
    <w:rsid w:val="026D1EB0"/>
    <w:rsid w:val="02922C74"/>
    <w:rsid w:val="029307AF"/>
    <w:rsid w:val="02AD361F"/>
    <w:rsid w:val="02B06A8E"/>
    <w:rsid w:val="02B30F4C"/>
    <w:rsid w:val="02BC3862"/>
    <w:rsid w:val="02D4526A"/>
    <w:rsid w:val="02DC2156"/>
    <w:rsid w:val="0306659A"/>
    <w:rsid w:val="03153ABF"/>
    <w:rsid w:val="03304250"/>
    <w:rsid w:val="03404493"/>
    <w:rsid w:val="03410D3E"/>
    <w:rsid w:val="03417220"/>
    <w:rsid w:val="034D5E4E"/>
    <w:rsid w:val="0350044F"/>
    <w:rsid w:val="036667DD"/>
    <w:rsid w:val="036919AA"/>
    <w:rsid w:val="03771E7F"/>
    <w:rsid w:val="03875DE6"/>
    <w:rsid w:val="03A26EFC"/>
    <w:rsid w:val="03C66DEB"/>
    <w:rsid w:val="03E47515"/>
    <w:rsid w:val="03EC461B"/>
    <w:rsid w:val="0425573F"/>
    <w:rsid w:val="04267B2D"/>
    <w:rsid w:val="0428517E"/>
    <w:rsid w:val="043C4D20"/>
    <w:rsid w:val="04420326"/>
    <w:rsid w:val="045A6FA9"/>
    <w:rsid w:val="045F7CB9"/>
    <w:rsid w:val="046702FE"/>
    <w:rsid w:val="04671BCD"/>
    <w:rsid w:val="046A40DD"/>
    <w:rsid w:val="04926F71"/>
    <w:rsid w:val="04A66578"/>
    <w:rsid w:val="04BC5D9C"/>
    <w:rsid w:val="05094D59"/>
    <w:rsid w:val="05634B5E"/>
    <w:rsid w:val="056512CE"/>
    <w:rsid w:val="056F2E0E"/>
    <w:rsid w:val="05742A7A"/>
    <w:rsid w:val="057936D5"/>
    <w:rsid w:val="057C552B"/>
    <w:rsid w:val="058E7E66"/>
    <w:rsid w:val="059F00D7"/>
    <w:rsid w:val="05D47115"/>
    <w:rsid w:val="05D90BCF"/>
    <w:rsid w:val="05F15DFC"/>
    <w:rsid w:val="05F15F19"/>
    <w:rsid w:val="060F0E6C"/>
    <w:rsid w:val="062005AC"/>
    <w:rsid w:val="06283A70"/>
    <w:rsid w:val="064C01B1"/>
    <w:rsid w:val="0664445A"/>
    <w:rsid w:val="068F128B"/>
    <w:rsid w:val="06C37604"/>
    <w:rsid w:val="06CB228F"/>
    <w:rsid w:val="06DE4D4C"/>
    <w:rsid w:val="07393F81"/>
    <w:rsid w:val="07395CFF"/>
    <w:rsid w:val="074007EA"/>
    <w:rsid w:val="07400D7F"/>
    <w:rsid w:val="07470275"/>
    <w:rsid w:val="07512A4B"/>
    <w:rsid w:val="075D0ABA"/>
    <w:rsid w:val="0761211B"/>
    <w:rsid w:val="076F550D"/>
    <w:rsid w:val="077C5CB6"/>
    <w:rsid w:val="07A80859"/>
    <w:rsid w:val="07E82BCD"/>
    <w:rsid w:val="0808754A"/>
    <w:rsid w:val="08111BA2"/>
    <w:rsid w:val="08273A6D"/>
    <w:rsid w:val="082E60C7"/>
    <w:rsid w:val="083431BE"/>
    <w:rsid w:val="084533AC"/>
    <w:rsid w:val="085B79F2"/>
    <w:rsid w:val="08837AEF"/>
    <w:rsid w:val="089112ED"/>
    <w:rsid w:val="08A06896"/>
    <w:rsid w:val="08B66FA6"/>
    <w:rsid w:val="08C47FFD"/>
    <w:rsid w:val="08FC433D"/>
    <w:rsid w:val="090D70CF"/>
    <w:rsid w:val="092B1742"/>
    <w:rsid w:val="092D0755"/>
    <w:rsid w:val="094B7B54"/>
    <w:rsid w:val="09902DEC"/>
    <w:rsid w:val="099E3CC2"/>
    <w:rsid w:val="09B01C47"/>
    <w:rsid w:val="0A033D49"/>
    <w:rsid w:val="0A136A23"/>
    <w:rsid w:val="0A1E1991"/>
    <w:rsid w:val="0A2F7CC5"/>
    <w:rsid w:val="0A78728B"/>
    <w:rsid w:val="0A7B121A"/>
    <w:rsid w:val="0A947B2B"/>
    <w:rsid w:val="0AB46643"/>
    <w:rsid w:val="0AC92FC0"/>
    <w:rsid w:val="0AE20526"/>
    <w:rsid w:val="0AF437A8"/>
    <w:rsid w:val="0B2007B7"/>
    <w:rsid w:val="0B704286"/>
    <w:rsid w:val="0BAC5F7B"/>
    <w:rsid w:val="0BD54A82"/>
    <w:rsid w:val="0C207036"/>
    <w:rsid w:val="0C421E8C"/>
    <w:rsid w:val="0C4D1B9D"/>
    <w:rsid w:val="0C4E7FBE"/>
    <w:rsid w:val="0C5875D2"/>
    <w:rsid w:val="0C6954E4"/>
    <w:rsid w:val="0C7F064D"/>
    <w:rsid w:val="0C9A3CCB"/>
    <w:rsid w:val="0CAA6E21"/>
    <w:rsid w:val="0CB0724F"/>
    <w:rsid w:val="0CDA72D1"/>
    <w:rsid w:val="0CFE46F5"/>
    <w:rsid w:val="0D1852A1"/>
    <w:rsid w:val="0D1D632B"/>
    <w:rsid w:val="0D234AFD"/>
    <w:rsid w:val="0D2C7836"/>
    <w:rsid w:val="0D3120EE"/>
    <w:rsid w:val="0D3A3626"/>
    <w:rsid w:val="0D682F64"/>
    <w:rsid w:val="0DC42165"/>
    <w:rsid w:val="0DD248FB"/>
    <w:rsid w:val="0DD60F2F"/>
    <w:rsid w:val="0DDA3875"/>
    <w:rsid w:val="0DDF0D4D"/>
    <w:rsid w:val="0DDF6EFF"/>
    <w:rsid w:val="0DE14A0A"/>
    <w:rsid w:val="0DE620DB"/>
    <w:rsid w:val="0E196216"/>
    <w:rsid w:val="0E204A31"/>
    <w:rsid w:val="0E3270CE"/>
    <w:rsid w:val="0E3B41D8"/>
    <w:rsid w:val="0E43048A"/>
    <w:rsid w:val="0E4D13D8"/>
    <w:rsid w:val="0E4E0AD5"/>
    <w:rsid w:val="0E5544DF"/>
    <w:rsid w:val="0E8F5FA6"/>
    <w:rsid w:val="0EAD0922"/>
    <w:rsid w:val="0EAF4C9C"/>
    <w:rsid w:val="0EBC0032"/>
    <w:rsid w:val="0EC711C5"/>
    <w:rsid w:val="0EC73CBB"/>
    <w:rsid w:val="0EDE777D"/>
    <w:rsid w:val="0EE52393"/>
    <w:rsid w:val="0F1D7D7F"/>
    <w:rsid w:val="0F4671E7"/>
    <w:rsid w:val="0F571432"/>
    <w:rsid w:val="0F585972"/>
    <w:rsid w:val="0F9A365F"/>
    <w:rsid w:val="0FA83AEC"/>
    <w:rsid w:val="0FC05FDF"/>
    <w:rsid w:val="0FD53DAA"/>
    <w:rsid w:val="1014719F"/>
    <w:rsid w:val="102A3FB2"/>
    <w:rsid w:val="104101AF"/>
    <w:rsid w:val="10441BE8"/>
    <w:rsid w:val="10446B35"/>
    <w:rsid w:val="104C41DB"/>
    <w:rsid w:val="104D4694"/>
    <w:rsid w:val="10764074"/>
    <w:rsid w:val="10991559"/>
    <w:rsid w:val="10A120FD"/>
    <w:rsid w:val="10A73186"/>
    <w:rsid w:val="10D32DB8"/>
    <w:rsid w:val="10E715A0"/>
    <w:rsid w:val="111667FB"/>
    <w:rsid w:val="114257BF"/>
    <w:rsid w:val="11677BA5"/>
    <w:rsid w:val="117D384D"/>
    <w:rsid w:val="11827F8E"/>
    <w:rsid w:val="119105B0"/>
    <w:rsid w:val="11967974"/>
    <w:rsid w:val="11A45D79"/>
    <w:rsid w:val="11BC0E16"/>
    <w:rsid w:val="11BF70CE"/>
    <w:rsid w:val="11C95F9C"/>
    <w:rsid w:val="11DC3285"/>
    <w:rsid w:val="11E14EEE"/>
    <w:rsid w:val="11F4359A"/>
    <w:rsid w:val="12023786"/>
    <w:rsid w:val="121865DB"/>
    <w:rsid w:val="124273CD"/>
    <w:rsid w:val="12706408"/>
    <w:rsid w:val="127C4DBC"/>
    <w:rsid w:val="12954EDB"/>
    <w:rsid w:val="12CD1ABC"/>
    <w:rsid w:val="12D26A15"/>
    <w:rsid w:val="12D46289"/>
    <w:rsid w:val="12DF680F"/>
    <w:rsid w:val="12ED6FC1"/>
    <w:rsid w:val="12ED7A68"/>
    <w:rsid w:val="13192368"/>
    <w:rsid w:val="131A12D0"/>
    <w:rsid w:val="131A642D"/>
    <w:rsid w:val="1323305E"/>
    <w:rsid w:val="132F1E2E"/>
    <w:rsid w:val="13392CAD"/>
    <w:rsid w:val="135A44AD"/>
    <w:rsid w:val="13734411"/>
    <w:rsid w:val="13987F9F"/>
    <w:rsid w:val="139F0559"/>
    <w:rsid w:val="13AE4D95"/>
    <w:rsid w:val="13D3452B"/>
    <w:rsid w:val="13D44EBB"/>
    <w:rsid w:val="13D908B7"/>
    <w:rsid w:val="13E64BE3"/>
    <w:rsid w:val="13E76BAD"/>
    <w:rsid w:val="13FB76F3"/>
    <w:rsid w:val="140A6F52"/>
    <w:rsid w:val="14172444"/>
    <w:rsid w:val="141F00F5"/>
    <w:rsid w:val="142676D5"/>
    <w:rsid w:val="142D5605"/>
    <w:rsid w:val="142E0338"/>
    <w:rsid w:val="142F2A6F"/>
    <w:rsid w:val="147B0BD3"/>
    <w:rsid w:val="147F0B94"/>
    <w:rsid w:val="149C7998"/>
    <w:rsid w:val="14AF76CB"/>
    <w:rsid w:val="14ED3D4F"/>
    <w:rsid w:val="15165E9F"/>
    <w:rsid w:val="151C3C4C"/>
    <w:rsid w:val="15347BD0"/>
    <w:rsid w:val="15664323"/>
    <w:rsid w:val="157B62E0"/>
    <w:rsid w:val="158310C1"/>
    <w:rsid w:val="158A5A42"/>
    <w:rsid w:val="159F0DA2"/>
    <w:rsid w:val="159F6E6A"/>
    <w:rsid w:val="15BC5AAE"/>
    <w:rsid w:val="15D143AD"/>
    <w:rsid w:val="15DF5A11"/>
    <w:rsid w:val="15DF5D8E"/>
    <w:rsid w:val="15E06932"/>
    <w:rsid w:val="15EF2F49"/>
    <w:rsid w:val="161F5562"/>
    <w:rsid w:val="16371AE9"/>
    <w:rsid w:val="163F682C"/>
    <w:rsid w:val="1641253D"/>
    <w:rsid w:val="1642057B"/>
    <w:rsid w:val="16461969"/>
    <w:rsid w:val="164E65C7"/>
    <w:rsid w:val="16702E8A"/>
    <w:rsid w:val="16923B57"/>
    <w:rsid w:val="16C3697B"/>
    <w:rsid w:val="16C3745D"/>
    <w:rsid w:val="16F75B5B"/>
    <w:rsid w:val="16F92E7F"/>
    <w:rsid w:val="170759D7"/>
    <w:rsid w:val="172B2E02"/>
    <w:rsid w:val="17481711"/>
    <w:rsid w:val="175A3956"/>
    <w:rsid w:val="176606C2"/>
    <w:rsid w:val="17927036"/>
    <w:rsid w:val="17AD28CF"/>
    <w:rsid w:val="17B34241"/>
    <w:rsid w:val="17D64251"/>
    <w:rsid w:val="17E021AB"/>
    <w:rsid w:val="18012F04"/>
    <w:rsid w:val="18243F2C"/>
    <w:rsid w:val="18335FAA"/>
    <w:rsid w:val="183D0B4A"/>
    <w:rsid w:val="18474545"/>
    <w:rsid w:val="185A2BB6"/>
    <w:rsid w:val="1866286E"/>
    <w:rsid w:val="188E657C"/>
    <w:rsid w:val="189015C1"/>
    <w:rsid w:val="18EA2DBC"/>
    <w:rsid w:val="18EF453A"/>
    <w:rsid w:val="19097B9D"/>
    <w:rsid w:val="192E09F0"/>
    <w:rsid w:val="19335E2A"/>
    <w:rsid w:val="193609BF"/>
    <w:rsid w:val="193A068A"/>
    <w:rsid w:val="194B4244"/>
    <w:rsid w:val="19531985"/>
    <w:rsid w:val="19704F75"/>
    <w:rsid w:val="19C63549"/>
    <w:rsid w:val="19D159DE"/>
    <w:rsid w:val="19D86EF5"/>
    <w:rsid w:val="19DF6A21"/>
    <w:rsid w:val="1A54439E"/>
    <w:rsid w:val="1A706CE3"/>
    <w:rsid w:val="1A8602DA"/>
    <w:rsid w:val="1AB20D2C"/>
    <w:rsid w:val="1AE35571"/>
    <w:rsid w:val="1B2B028F"/>
    <w:rsid w:val="1B4072CF"/>
    <w:rsid w:val="1B63216D"/>
    <w:rsid w:val="1B780DE1"/>
    <w:rsid w:val="1BD113B1"/>
    <w:rsid w:val="1BDF0661"/>
    <w:rsid w:val="1C080061"/>
    <w:rsid w:val="1C1A7A3A"/>
    <w:rsid w:val="1C2215CF"/>
    <w:rsid w:val="1C2A68FC"/>
    <w:rsid w:val="1C2C265D"/>
    <w:rsid w:val="1C383E0A"/>
    <w:rsid w:val="1C386FBB"/>
    <w:rsid w:val="1C3A3AC8"/>
    <w:rsid w:val="1C591153"/>
    <w:rsid w:val="1C623275"/>
    <w:rsid w:val="1C704698"/>
    <w:rsid w:val="1C7C4721"/>
    <w:rsid w:val="1C8906F6"/>
    <w:rsid w:val="1C972D41"/>
    <w:rsid w:val="1C9A47BD"/>
    <w:rsid w:val="1CA052F9"/>
    <w:rsid w:val="1CAD09F4"/>
    <w:rsid w:val="1CE04895"/>
    <w:rsid w:val="1CEB2965"/>
    <w:rsid w:val="1D0A3F77"/>
    <w:rsid w:val="1D0F51B4"/>
    <w:rsid w:val="1D122306"/>
    <w:rsid w:val="1D147534"/>
    <w:rsid w:val="1D422B05"/>
    <w:rsid w:val="1D581541"/>
    <w:rsid w:val="1D5F4A82"/>
    <w:rsid w:val="1D863A20"/>
    <w:rsid w:val="1D89409B"/>
    <w:rsid w:val="1DB21FDA"/>
    <w:rsid w:val="1DCA3977"/>
    <w:rsid w:val="1DED43D3"/>
    <w:rsid w:val="1E1015DF"/>
    <w:rsid w:val="1E402EC8"/>
    <w:rsid w:val="1E4D747A"/>
    <w:rsid w:val="1E5079B9"/>
    <w:rsid w:val="1E6C2189"/>
    <w:rsid w:val="1E6E1579"/>
    <w:rsid w:val="1E9837A9"/>
    <w:rsid w:val="1EAE1D8B"/>
    <w:rsid w:val="1EB16929"/>
    <w:rsid w:val="1EF92857"/>
    <w:rsid w:val="1F06438B"/>
    <w:rsid w:val="1F291B09"/>
    <w:rsid w:val="1F8247E8"/>
    <w:rsid w:val="1FA37E2C"/>
    <w:rsid w:val="1FEE3EF7"/>
    <w:rsid w:val="20062169"/>
    <w:rsid w:val="200E4EC7"/>
    <w:rsid w:val="202A40A9"/>
    <w:rsid w:val="20546BAB"/>
    <w:rsid w:val="2059363A"/>
    <w:rsid w:val="2060790C"/>
    <w:rsid w:val="20721CFB"/>
    <w:rsid w:val="207A58C4"/>
    <w:rsid w:val="21093BD0"/>
    <w:rsid w:val="21260D15"/>
    <w:rsid w:val="21423675"/>
    <w:rsid w:val="21585671"/>
    <w:rsid w:val="216B5933"/>
    <w:rsid w:val="21810588"/>
    <w:rsid w:val="219263AA"/>
    <w:rsid w:val="21975255"/>
    <w:rsid w:val="21A86D5D"/>
    <w:rsid w:val="21AE4866"/>
    <w:rsid w:val="21BC78A2"/>
    <w:rsid w:val="21EC58D7"/>
    <w:rsid w:val="21EE1107"/>
    <w:rsid w:val="22464B69"/>
    <w:rsid w:val="22465668"/>
    <w:rsid w:val="224D22D1"/>
    <w:rsid w:val="22835CF3"/>
    <w:rsid w:val="22977811"/>
    <w:rsid w:val="22A53EBB"/>
    <w:rsid w:val="22BC5229"/>
    <w:rsid w:val="22E03145"/>
    <w:rsid w:val="23005595"/>
    <w:rsid w:val="2326066E"/>
    <w:rsid w:val="23482EEF"/>
    <w:rsid w:val="23495845"/>
    <w:rsid w:val="235A159E"/>
    <w:rsid w:val="2366171F"/>
    <w:rsid w:val="23874733"/>
    <w:rsid w:val="23BB4A5D"/>
    <w:rsid w:val="23D63FF3"/>
    <w:rsid w:val="23DC0311"/>
    <w:rsid w:val="23DF233A"/>
    <w:rsid w:val="23E313B8"/>
    <w:rsid w:val="2419690F"/>
    <w:rsid w:val="241E3F25"/>
    <w:rsid w:val="2422515D"/>
    <w:rsid w:val="24361FED"/>
    <w:rsid w:val="2466505A"/>
    <w:rsid w:val="246F29D3"/>
    <w:rsid w:val="24727DCD"/>
    <w:rsid w:val="247E2C16"/>
    <w:rsid w:val="24817FE5"/>
    <w:rsid w:val="24B569A8"/>
    <w:rsid w:val="24D80578"/>
    <w:rsid w:val="24DC02E5"/>
    <w:rsid w:val="250A26FB"/>
    <w:rsid w:val="2517536F"/>
    <w:rsid w:val="251B2969"/>
    <w:rsid w:val="251D41DD"/>
    <w:rsid w:val="252512E3"/>
    <w:rsid w:val="25522B50"/>
    <w:rsid w:val="25650BF0"/>
    <w:rsid w:val="257A1F7A"/>
    <w:rsid w:val="25912E9A"/>
    <w:rsid w:val="259D3570"/>
    <w:rsid w:val="25D723F5"/>
    <w:rsid w:val="25D85D70"/>
    <w:rsid w:val="25E52DDF"/>
    <w:rsid w:val="261E5451"/>
    <w:rsid w:val="26764558"/>
    <w:rsid w:val="2679402F"/>
    <w:rsid w:val="267C1A48"/>
    <w:rsid w:val="26B7049C"/>
    <w:rsid w:val="26C82051"/>
    <w:rsid w:val="26F611A5"/>
    <w:rsid w:val="27022BA9"/>
    <w:rsid w:val="27050247"/>
    <w:rsid w:val="270D0281"/>
    <w:rsid w:val="27320F55"/>
    <w:rsid w:val="27441EF5"/>
    <w:rsid w:val="276C31F9"/>
    <w:rsid w:val="276F1C0A"/>
    <w:rsid w:val="277E7422"/>
    <w:rsid w:val="278D6D62"/>
    <w:rsid w:val="27925789"/>
    <w:rsid w:val="27BD1CA7"/>
    <w:rsid w:val="27D72D69"/>
    <w:rsid w:val="27E24A9B"/>
    <w:rsid w:val="27E62295"/>
    <w:rsid w:val="27FA0929"/>
    <w:rsid w:val="281A0EA7"/>
    <w:rsid w:val="283F6199"/>
    <w:rsid w:val="2861255C"/>
    <w:rsid w:val="2869656D"/>
    <w:rsid w:val="287249EB"/>
    <w:rsid w:val="287D568E"/>
    <w:rsid w:val="288B70F0"/>
    <w:rsid w:val="28C33694"/>
    <w:rsid w:val="28D34DC5"/>
    <w:rsid w:val="28F24E95"/>
    <w:rsid w:val="29041AE9"/>
    <w:rsid w:val="291122AA"/>
    <w:rsid w:val="295E5D81"/>
    <w:rsid w:val="2964687E"/>
    <w:rsid w:val="29647A54"/>
    <w:rsid w:val="29671F1A"/>
    <w:rsid w:val="296A19BB"/>
    <w:rsid w:val="297939AC"/>
    <w:rsid w:val="297E3F21"/>
    <w:rsid w:val="29A70519"/>
    <w:rsid w:val="29B57DD0"/>
    <w:rsid w:val="29C535B3"/>
    <w:rsid w:val="29CE2DD2"/>
    <w:rsid w:val="2A114589"/>
    <w:rsid w:val="2A8779F6"/>
    <w:rsid w:val="2A9F0C2C"/>
    <w:rsid w:val="2AA30015"/>
    <w:rsid w:val="2AB866F9"/>
    <w:rsid w:val="2ABB779A"/>
    <w:rsid w:val="2AEB08D9"/>
    <w:rsid w:val="2AF83194"/>
    <w:rsid w:val="2B1D622E"/>
    <w:rsid w:val="2B2112AA"/>
    <w:rsid w:val="2B3C3044"/>
    <w:rsid w:val="2B3D0B29"/>
    <w:rsid w:val="2B405F38"/>
    <w:rsid w:val="2B466D12"/>
    <w:rsid w:val="2B4A1AA4"/>
    <w:rsid w:val="2B4D4BC5"/>
    <w:rsid w:val="2B9222AB"/>
    <w:rsid w:val="2BBC2BF1"/>
    <w:rsid w:val="2BCE6231"/>
    <w:rsid w:val="2BF40C09"/>
    <w:rsid w:val="2BF93917"/>
    <w:rsid w:val="2C0E552D"/>
    <w:rsid w:val="2C0F4464"/>
    <w:rsid w:val="2C1D333E"/>
    <w:rsid w:val="2C30262C"/>
    <w:rsid w:val="2C497DDB"/>
    <w:rsid w:val="2C5A14A4"/>
    <w:rsid w:val="2CA70915"/>
    <w:rsid w:val="2CB73169"/>
    <w:rsid w:val="2CBA67B5"/>
    <w:rsid w:val="2CCE6B43"/>
    <w:rsid w:val="2CD26B7B"/>
    <w:rsid w:val="2CF25F4F"/>
    <w:rsid w:val="2D10796F"/>
    <w:rsid w:val="2D1129C3"/>
    <w:rsid w:val="2D1D0B8C"/>
    <w:rsid w:val="2D4A2F08"/>
    <w:rsid w:val="2D4A6466"/>
    <w:rsid w:val="2D957A25"/>
    <w:rsid w:val="2D9C7DBE"/>
    <w:rsid w:val="2DC007B4"/>
    <w:rsid w:val="2DCE20D9"/>
    <w:rsid w:val="2DCF44E2"/>
    <w:rsid w:val="2DD2385A"/>
    <w:rsid w:val="2DEC6E42"/>
    <w:rsid w:val="2E1414F5"/>
    <w:rsid w:val="2E17533E"/>
    <w:rsid w:val="2E1839F1"/>
    <w:rsid w:val="2E6932C2"/>
    <w:rsid w:val="2EC35DF5"/>
    <w:rsid w:val="2ECE02F6"/>
    <w:rsid w:val="2ECF0417"/>
    <w:rsid w:val="2ED27DE6"/>
    <w:rsid w:val="2ED4025B"/>
    <w:rsid w:val="2ED41D2F"/>
    <w:rsid w:val="2F1155C8"/>
    <w:rsid w:val="2F2C6A42"/>
    <w:rsid w:val="2F2E6FE6"/>
    <w:rsid w:val="2F4A02C4"/>
    <w:rsid w:val="2F522CD5"/>
    <w:rsid w:val="2F546701"/>
    <w:rsid w:val="2F736E20"/>
    <w:rsid w:val="2F740E9D"/>
    <w:rsid w:val="2F745945"/>
    <w:rsid w:val="2F762E67"/>
    <w:rsid w:val="2F854E58"/>
    <w:rsid w:val="2F8B0FE4"/>
    <w:rsid w:val="2FB23CE6"/>
    <w:rsid w:val="2FC040E2"/>
    <w:rsid w:val="2FCC43B2"/>
    <w:rsid w:val="2FF11A8B"/>
    <w:rsid w:val="2FF866DE"/>
    <w:rsid w:val="300E30A0"/>
    <w:rsid w:val="30271FBB"/>
    <w:rsid w:val="302D729E"/>
    <w:rsid w:val="303B7C0D"/>
    <w:rsid w:val="3041240B"/>
    <w:rsid w:val="304C67C6"/>
    <w:rsid w:val="30620C49"/>
    <w:rsid w:val="307B6118"/>
    <w:rsid w:val="30986E0D"/>
    <w:rsid w:val="309C6908"/>
    <w:rsid w:val="30B17ECF"/>
    <w:rsid w:val="30B30304"/>
    <w:rsid w:val="30BF083E"/>
    <w:rsid w:val="30CC7295"/>
    <w:rsid w:val="30DF509D"/>
    <w:rsid w:val="310A6A4A"/>
    <w:rsid w:val="3112597E"/>
    <w:rsid w:val="31152277"/>
    <w:rsid w:val="311C43E5"/>
    <w:rsid w:val="31223182"/>
    <w:rsid w:val="31262B61"/>
    <w:rsid w:val="316638AD"/>
    <w:rsid w:val="31A572D3"/>
    <w:rsid w:val="31A6555A"/>
    <w:rsid w:val="31BA5C46"/>
    <w:rsid w:val="31CD1512"/>
    <w:rsid w:val="31E22A36"/>
    <w:rsid w:val="31F82AAF"/>
    <w:rsid w:val="31FA0811"/>
    <w:rsid w:val="320D13C4"/>
    <w:rsid w:val="3216623C"/>
    <w:rsid w:val="321E3342"/>
    <w:rsid w:val="322767CF"/>
    <w:rsid w:val="32370698"/>
    <w:rsid w:val="32905159"/>
    <w:rsid w:val="32972FC3"/>
    <w:rsid w:val="329923FE"/>
    <w:rsid w:val="32DE172B"/>
    <w:rsid w:val="330C763F"/>
    <w:rsid w:val="33192BD3"/>
    <w:rsid w:val="33650639"/>
    <w:rsid w:val="336C775A"/>
    <w:rsid w:val="338D077F"/>
    <w:rsid w:val="339A635A"/>
    <w:rsid w:val="33A25A1B"/>
    <w:rsid w:val="33B35729"/>
    <w:rsid w:val="33C062E2"/>
    <w:rsid w:val="33D62E65"/>
    <w:rsid w:val="33DB773D"/>
    <w:rsid w:val="33F55B6E"/>
    <w:rsid w:val="33FA68B9"/>
    <w:rsid w:val="33FB393B"/>
    <w:rsid w:val="33FF3160"/>
    <w:rsid w:val="340B3A53"/>
    <w:rsid w:val="342D5ABF"/>
    <w:rsid w:val="34703188"/>
    <w:rsid w:val="3472138A"/>
    <w:rsid w:val="34735BC7"/>
    <w:rsid w:val="34B31314"/>
    <w:rsid w:val="34C94FC9"/>
    <w:rsid w:val="34DC7316"/>
    <w:rsid w:val="34E02B63"/>
    <w:rsid w:val="34E21E6E"/>
    <w:rsid w:val="34F678C3"/>
    <w:rsid w:val="350536A0"/>
    <w:rsid w:val="351729F7"/>
    <w:rsid w:val="35246EC1"/>
    <w:rsid w:val="35282378"/>
    <w:rsid w:val="35327830"/>
    <w:rsid w:val="35335357"/>
    <w:rsid w:val="353F588A"/>
    <w:rsid w:val="355B1BB7"/>
    <w:rsid w:val="35692FB7"/>
    <w:rsid w:val="356D6E6F"/>
    <w:rsid w:val="35867B7C"/>
    <w:rsid w:val="35982E95"/>
    <w:rsid w:val="35B02A74"/>
    <w:rsid w:val="35C1098C"/>
    <w:rsid w:val="35CA758B"/>
    <w:rsid w:val="35D67A90"/>
    <w:rsid w:val="35EB4569"/>
    <w:rsid w:val="35EE2687"/>
    <w:rsid w:val="3613754C"/>
    <w:rsid w:val="3659622C"/>
    <w:rsid w:val="3667350A"/>
    <w:rsid w:val="36677938"/>
    <w:rsid w:val="3679148F"/>
    <w:rsid w:val="36820344"/>
    <w:rsid w:val="3699743B"/>
    <w:rsid w:val="36B55988"/>
    <w:rsid w:val="36C00E6C"/>
    <w:rsid w:val="36D93027"/>
    <w:rsid w:val="36DD1A1E"/>
    <w:rsid w:val="36FD7088"/>
    <w:rsid w:val="370012B5"/>
    <w:rsid w:val="37010B47"/>
    <w:rsid w:val="37076A9B"/>
    <w:rsid w:val="37164F30"/>
    <w:rsid w:val="37183EE3"/>
    <w:rsid w:val="371B2546"/>
    <w:rsid w:val="37203B76"/>
    <w:rsid w:val="373659FB"/>
    <w:rsid w:val="374E6478"/>
    <w:rsid w:val="375A7BFF"/>
    <w:rsid w:val="37614B2E"/>
    <w:rsid w:val="37712166"/>
    <w:rsid w:val="37850692"/>
    <w:rsid w:val="378C5C80"/>
    <w:rsid w:val="37B34530"/>
    <w:rsid w:val="37BC7885"/>
    <w:rsid w:val="37C342B8"/>
    <w:rsid w:val="37EA33B3"/>
    <w:rsid w:val="37ED5C91"/>
    <w:rsid w:val="380726AF"/>
    <w:rsid w:val="380E5496"/>
    <w:rsid w:val="381B759E"/>
    <w:rsid w:val="38821F74"/>
    <w:rsid w:val="38B672B9"/>
    <w:rsid w:val="38C74734"/>
    <w:rsid w:val="38D020AB"/>
    <w:rsid w:val="38DE382B"/>
    <w:rsid w:val="38EA5BB0"/>
    <w:rsid w:val="3944716A"/>
    <w:rsid w:val="396445F3"/>
    <w:rsid w:val="39730EE3"/>
    <w:rsid w:val="39805279"/>
    <w:rsid w:val="399F4FFA"/>
    <w:rsid w:val="39A64751"/>
    <w:rsid w:val="39E71BC6"/>
    <w:rsid w:val="39F80156"/>
    <w:rsid w:val="39FA4695"/>
    <w:rsid w:val="3A0C25E0"/>
    <w:rsid w:val="3A1C032F"/>
    <w:rsid w:val="3A2D2EB7"/>
    <w:rsid w:val="3A460B68"/>
    <w:rsid w:val="3A4D0C68"/>
    <w:rsid w:val="3A5856C6"/>
    <w:rsid w:val="3A5A1053"/>
    <w:rsid w:val="3A6423C3"/>
    <w:rsid w:val="3A667F7C"/>
    <w:rsid w:val="3A72247D"/>
    <w:rsid w:val="3A7601BF"/>
    <w:rsid w:val="3A9350F9"/>
    <w:rsid w:val="3AA06FEA"/>
    <w:rsid w:val="3AA178C1"/>
    <w:rsid w:val="3AA409CB"/>
    <w:rsid w:val="3AA95CE4"/>
    <w:rsid w:val="3ABD3716"/>
    <w:rsid w:val="3AD46C94"/>
    <w:rsid w:val="3ADB2718"/>
    <w:rsid w:val="3AE736A0"/>
    <w:rsid w:val="3AF37A62"/>
    <w:rsid w:val="3B077E90"/>
    <w:rsid w:val="3B185241"/>
    <w:rsid w:val="3B1F5992"/>
    <w:rsid w:val="3B2B7AD2"/>
    <w:rsid w:val="3B2B7EC1"/>
    <w:rsid w:val="3B7939FB"/>
    <w:rsid w:val="3B8A5173"/>
    <w:rsid w:val="3B8C1BFB"/>
    <w:rsid w:val="3BA1126C"/>
    <w:rsid w:val="3C051559"/>
    <w:rsid w:val="3C2105FF"/>
    <w:rsid w:val="3C3C15A4"/>
    <w:rsid w:val="3C5F5A3C"/>
    <w:rsid w:val="3C65673D"/>
    <w:rsid w:val="3C6B7ACC"/>
    <w:rsid w:val="3C7F2DB6"/>
    <w:rsid w:val="3C8B637F"/>
    <w:rsid w:val="3C8D0246"/>
    <w:rsid w:val="3CB23005"/>
    <w:rsid w:val="3CC74C7B"/>
    <w:rsid w:val="3CDD587A"/>
    <w:rsid w:val="3CF07734"/>
    <w:rsid w:val="3D0221DE"/>
    <w:rsid w:val="3D023F8C"/>
    <w:rsid w:val="3D05582A"/>
    <w:rsid w:val="3D1A0960"/>
    <w:rsid w:val="3D5D19CA"/>
    <w:rsid w:val="3D767023"/>
    <w:rsid w:val="3D7E0810"/>
    <w:rsid w:val="3D811710"/>
    <w:rsid w:val="3D8632F4"/>
    <w:rsid w:val="3DBD17B8"/>
    <w:rsid w:val="3DC92CFC"/>
    <w:rsid w:val="3DCA49D6"/>
    <w:rsid w:val="3DD0408A"/>
    <w:rsid w:val="3DD52B3D"/>
    <w:rsid w:val="3DF41ED7"/>
    <w:rsid w:val="3DFC4E7F"/>
    <w:rsid w:val="3E3F4E4E"/>
    <w:rsid w:val="3E4C10A6"/>
    <w:rsid w:val="3E9C2F87"/>
    <w:rsid w:val="3EBC6CF0"/>
    <w:rsid w:val="3EBE0387"/>
    <w:rsid w:val="3EDB2CE7"/>
    <w:rsid w:val="3EFB1D7E"/>
    <w:rsid w:val="3F013E38"/>
    <w:rsid w:val="3F06588A"/>
    <w:rsid w:val="3F1539D7"/>
    <w:rsid w:val="3F1E3015"/>
    <w:rsid w:val="3F2A77CA"/>
    <w:rsid w:val="3F365185"/>
    <w:rsid w:val="3F8E016B"/>
    <w:rsid w:val="3FA03A20"/>
    <w:rsid w:val="3FB0365D"/>
    <w:rsid w:val="3FC25C55"/>
    <w:rsid w:val="3FC829C2"/>
    <w:rsid w:val="3FCF14CD"/>
    <w:rsid w:val="3FD44BBA"/>
    <w:rsid w:val="3FEB280D"/>
    <w:rsid w:val="3FF266EA"/>
    <w:rsid w:val="3FFD0578"/>
    <w:rsid w:val="40111499"/>
    <w:rsid w:val="40311615"/>
    <w:rsid w:val="40443BD0"/>
    <w:rsid w:val="4048440F"/>
    <w:rsid w:val="404D7C48"/>
    <w:rsid w:val="4050500F"/>
    <w:rsid w:val="40BB2E9A"/>
    <w:rsid w:val="40C01A7F"/>
    <w:rsid w:val="40C15B13"/>
    <w:rsid w:val="40D37F90"/>
    <w:rsid w:val="410858E9"/>
    <w:rsid w:val="4110479E"/>
    <w:rsid w:val="411374C6"/>
    <w:rsid w:val="412F048A"/>
    <w:rsid w:val="41322466"/>
    <w:rsid w:val="41820F87"/>
    <w:rsid w:val="418314DB"/>
    <w:rsid w:val="418D04DF"/>
    <w:rsid w:val="41F61BE6"/>
    <w:rsid w:val="421E5EDC"/>
    <w:rsid w:val="42283736"/>
    <w:rsid w:val="424010B3"/>
    <w:rsid w:val="424302DF"/>
    <w:rsid w:val="42624F2A"/>
    <w:rsid w:val="42810BCA"/>
    <w:rsid w:val="42885319"/>
    <w:rsid w:val="428F6F0B"/>
    <w:rsid w:val="42A94EAA"/>
    <w:rsid w:val="42AB2039"/>
    <w:rsid w:val="42AD5BF9"/>
    <w:rsid w:val="42D27F5D"/>
    <w:rsid w:val="42D90EB0"/>
    <w:rsid w:val="4300762C"/>
    <w:rsid w:val="430A332D"/>
    <w:rsid w:val="43291B47"/>
    <w:rsid w:val="4341223B"/>
    <w:rsid w:val="435F2079"/>
    <w:rsid w:val="43684040"/>
    <w:rsid w:val="438F40A0"/>
    <w:rsid w:val="43AD2778"/>
    <w:rsid w:val="43C57AC2"/>
    <w:rsid w:val="43CD1A6D"/>
    <w:rsid w:val="43ED3527"/>
    <w:rsid w:val="447D039C"/>
    <w:rsid w:val="447F5D55"/>
    <w:rsid w:val="448671CA"/>
    <w:rsid w:val="44A44230"/>
    <w:rsid w:val="44A91191"/>
    <w:rsid w:val="44C304A5"/>
    <w:rsid w:val="44D66572"/>
    <w:rsid w:val="44E977E0"/>
    <w:rsid w:val="452F3242"/>
    <w:rsid w:val="45724411"/>
    <w:rsid w:val="45725A27"/>
    <w:rsid w:val="459313C2"/>
    <w:rsid w:val="45E93F7A"/>
    <w:rsid w:val="462074BE"/>
    <w:rsid w:val="462176BD"/>
    <w:rsid w:val="467D28D5"/>
    <w:rsid w:val="46CF57F3"/>
    <w:rsid w:val="46D37833"/>
    <w:rsid w:val="46D3786E"/>
    <w:rsid w:val="46D97270"/>
    <w:rsid w:val="46E13A1B"/>
    <w:rsid w:val="46E40154"/>
    <w:rsid w:val="46E74B7D"/>
    <w:rsid w:val="46EB1390"/>
    <w:rsid w:val="46FA5CD4"/>
    <w:rsid w:val="470923BB"/>
    <w:rsid w:val="472A5A7B"/>
    <w:rsid w:val="473867FC"/>
    <w:rsid w:val="473A07C7"/>
    <w:rsid w:val="47413C24"/>
    <w:rsid w:val="474541BB"/>
    <w:rsid w:val="47562428"/>
    <w:rsid w:val="476C5E9B"/>
    <w:rsid w:val="477307ED"/>
    <w:rsid w:val="477D5A48"/>
    <w:rsid w:val="478D3529"/>
    <w:rsid w:val="47B8578B"/>
    <w:rsid w:val="47D26E2E"/>
    <w:rsid w:val="47D97FDF"/>
    <w:rsid w:val="47F71A1A"/>
    <w:rsid w:val="48030BB8"/>
    <w:rsid w:val="480D5C31"/>
    <w:rsid w:val="48315726"/>
    <w:rsid w:val="48355FBF"/>
    <w:rsid w:val="483B516F"/>
    <w:rsid w:val="4849533A"/>
    <w:rsid w:val="48580F04"/>
    <w:rsid w:val="488000B9"/>
    <w:rsid w:val="488B12D9"/>
    <w:rsid w:val="48926A36"/>
    <w:rsid w:val="48A27815"/>
    <w:rsid w:val="48A56114"/>
    <w:rsid w:val="48BE0390"/>
    <w:rsid w:val="48D32E33"/>
    <w:rsid w:val="490C7597"/>
    <w:rsid w:val="491577CD"/>
    <w:rsid w:val="4924529D"/>
    <w:rsid w:val="49317CB8"/>
    <w:rsid w:val="497F0FBC"/>
    <w:rsid w:val="497F36DF"/>
    <w:rsid w:val="49924E7D"/>
    <w:rsid w:val="49A43F61"/>
    <w:rsid w:val="49B25C73"/>
    <w:rsid w:val="49B760FE"/>
    <w:rsid w:val="49E8275C"/>
    <w:rsid w:val="49FB27CB"/>
    <w:rsid w:val="4A103C3F"/>
    <w:rsid w:val="4A1B7CF0"/>
    <w:rsid w:val="4A1E443F"/>
    <w:rsid w:val="4A200A4F"/>
    <w:rsid w:val="4A431740"/>
    <w:rsid w:val="4A4401D0"/>
    <w:rsid w:val="4A7151AA"/>
    <w:rsid w:val="4A807E14"/>
    <w:rsid w:val="4A872847"/>
    <w:rsid w:val="4AA541A9"/>
    <w:rsid w:val="4AAF5D75"/>
    <w:rsid w:val="4ABF5254"/>
    <w:rsid w:val="4AE1552F"/>
    <w:rsid w:val="4AE9678B"/>
    <w:rsid w:val="4AFC7884"/>
    <w:rsid w:val="4AFD7946"/>
    <w:rsid w:val="4B0E49EA"/>
    <w:rsid w:val="4B0E7FA0"/>
    <w:rsid w:val="4B316422"/>
    <w:rsid w:val="4B455725"/>
    <w:rsid w:val="4B5A1A0B"/>
    <w:rsid w:val="4B675191"/>
    <w:rsid w:val="4B6F6EB6"/>
    <w:rsid w:val="4BB02AA4"/>
    <w:rsid w:val="4BD44D46"/>
    <w:rsid w:val="4BD6650F"/>
    <w:rsid w:val="4BDC3E87"/>
    <w:rsid w:val="4BE87970"/>
    <w:rsid w:val="4BF742DC"/>
    <w:rsid w:val="4C066D31"/>
    <w:rsid w:val="4C0B5847"/>
    <w:rsid w:val="4C207F8B"/>
    <w:rsid w:val="4C6F4A6E"/>
    <w:rsid w:val="4C73638C"/>
    <w:rsid w:val="4C7C718B"/>
    <w:rsid w:val="4C9557AE"/>
    <w:rsid w:val="4C9702F9"/>
    <w:rsid w:val="4CD34972"/>
    <w:rsid w:val="4CE447A4"/>
    <w:rsid w:val="4CE64369"/>
    <w:rsid w:val="4CEA7531"/>
    <w:rsid w:val="4CED7F85"/>
    <w:rsid w:val="4D0943C4"/>
    <w:rsid w:val="4D1C3FFA"/>
    <w:rsid w:val="4D292BA8"/>
    <w:rsid w:val="4D2B308B"/>
    <w:rsid w:val="4D5A571F"/>
    <w:rsid w:val="4D694D5E"/>
    <w:rsid w:val="4D74388D"/>
    <w:rsid w:val="4D994499"/>
    <w:rsid w:val="4DB34E2F"/>
    <w:rsid w:val="4DBC30BE"/>
    <w:rsid w:val="4DC16DD5"/>
    <w:rsid w:val="4DE34FD2"/>
    <w:rsid w:val="4E031912"/>
    <w:rsid w:val="4E0D09E3"/>
    <w:rsid w:val="4E190CEF"/>
    <w:rsid w:val="4E1D34CB"/>
    <w:rsid w:val="4E1F5CAD"/>
    <w:rsid w:val="4E396D5A"/>
    <w:rsid w:val="4E6C395B"/>
    <w:rsid w:val="4E7652A2"/>
    <w:rsid w:val="4E7C5B30"/>
    <w:rsid w:val="4E816CDB"/>
    <w:rsid w:val="4E880069"/>
    <w:rsid w:val="4E9B60C8"/>
    <w:rsid w:val="4EA3285D"/>
    <w:rsid w:val="4EDB4BC8"/>
    <w:rsid w:val="4EDE60D6"/>
    <w:rsid w:val="4F195165"/>
    <w:rsid w:val="4F280AC8"/>
    <w:rsid w:val="4F2C42DF"/>
    <w:rsid w:val="4F5F0DCA"/>
    <w:rsid w:val="4F796A50"/>
    <w:rsid w:val="4F8301B9"/>
    <w:rsid w:val="4F872AAF"/>
    <w:rsid w:val="4F954961"/>
    <w:rsid w:val="4F9C72EB"/>
    <w:rsid w:val="4FAB1AAC"/>
    <w:rsid w:val="4FB70C06"/>
    <w:rsid w:val="4FC43323"/>
    <w:rsid w:val="4FC926E8"/>
    <w:rsid w:val="4FE01F1D"/>
    <w:rsid w:val="4FE21A99"/>
    <w:rsid w:val="506A5C79"/>
    <w:rsid w:val="50960B0F"/>
    <w:rsid w:val="50C730CB"/>
    <w:rsid w:val="50E53B70"/>
    <w:rsid w:val="50EA5985"/>
    <w:rsid w:val="50F1639A"/>
    <w:rsid w:val="51087D24"/>
    <w:rsid w:val="510A118D"/>
    <w:rsid w:val="512D51C5"/>
    <w:rsid w:val="515C7CA2"/>
    <w:rsid w:val="51723E6D"/>
    <w:rsid w:val="519D5BDA"/>
    <w:rsid w:val="51C5066C"/>
    <w:rsid w:val="51CD77F7"/>
    <w:rsid w:val="51E71E6D"/>
    <w:rsid w:val="51FE0D6E"/>
    <w:rsid w:val="520F675D"/>
    <w:rsid w:val="524D3CE7"/>
    <w:rsid w:val="52534B1A"/>
    <w:rsid w:val="5299416C"/>
    <w:rsid w:val="52A3730B"/>
    <w:rsid w:val="52A37C23"/>
    <w:rsid w:val="52B50C77"/>
    <w:rsid w:val="52BB45CE"/>
    <w:rsid w:val="52D27384"/>
    <w:rsid w:val="52D603D9"/>
    <w:rsid w:val="52DC2732"/>
    <w:rsid w:val="52FB52AE"/>
    <w:rsid w:val="5305612D"/>
    <w:rsid w:val="53095885"/>
    <w:rsid w:val="53095D6A"/>
    <w:rsid w:val="530A6E5C"/>
    <w:rsid w:val="532208A5"/>
    <w:rsid w:val="53610DA9"/>
    <w:rsid w:val="53A44BEF"/>
    <w:rsid w:val="53B06D76"/>
    <w:rsid w:val="53B164FF"/>
    <w:rsid w:val="53B70B52"/>
    <w:rsid w:val="53C33A31"/>
    <w:rsid w:val="53C63F94"/>
    <w:rsid w:val="53D37B83"/>
    <w:rsid w:val="53D849A8"/>
    <w:rsid w:val="53FD3BAA"/>
    <w:rsid w:val="54053853"/>
    <w:rsid w:val="541434DF"/>
    <w:rsid w:val="543770F8"/>
    <w:rsid w:val="545253A1"/>
    <w:rsid w:val="54774713"/>
    <w:rsid w:val="5481389E"/>
    <w:rsid w:val="54996B2C"/>
    <w:rsid w:val="54A36D56"/>
    <w:rsid w:val="54AB461B"/>
    <w:rsid w:val="54C31DFB"/>
    <w:rsid w:val="54D1285E"/>
    <w:rsid w:val="54E337C4"/>
    <w:rsid w:val="54F22A19"/>
    <w:rsid w:val="54F8532A"/>
    <w:rsid w:val="54FE36F2"/>
    <w:rsid w:val="54FF095A"/>
    <w:rsid w:val="55263A47"/>
    <w:rsid w:val="5527575F"/>
    <w:rsid w:val="554D3D29"/>
    <w:rsid w:val="555063EB"/>
    <w:rsid w:val="555E27E7"/>
    <w:rsid w:val="556E7FB9"/>
    <w:rsid w:val="55774994"/>
    <w:rsid w:val="55914263"/>
    <w:rsid w:val="559519EA"/>
    <w:rsid w:val="55C90B16"/>
    <w:rsid w:val="56024FD4"/>
    <w:rsid w:val="560C4951"/>
    <w:rsid w:val="5621327D"/>
    <w:rsid w:val="562C58C7"/>
    <w:rsid w:val="56350AD7"/>
    <w:rsid w:val="563A0C06"/>
    <w:rsid w:val="563B3C13"/>
    <w:rsid w:val="56581E40"/>
    <w:rsid w:val="56815ACA"/>
    <w:rsid w:val="56834F45"/>
    <w:rsid w:val="56A906C7"/>
    <w:rsid w:val="56AE0490"/>
    <w:rsid w:val="56EC414A"/>
    <w:rsid w:val="5705494D"/>
    <w:rsid w:val="57134B64"/>
    <w:rsid w:val="573B383F"/>
    <w:rsid w:val="573C5E95"/>
    <w:rsid w:val="576E35AE"/>
    <w:rsid w:val="5785783C"/>
    <w:rsid w:val="57962C69"/>
    <w:rsid w:val="57AB6865"/>
    <w:rsid w:val="57C8774C"/>
    <w:rsid w:val="57E1065A"/>
    <w:rsid w:val="57E74754"/>
    <w:rsid w:val="57FF1E86"/>
    <w:rsid w:val="58062D10"/>
    <w:rsid w:val="58134E48"/>
    <w:rsid w:val="581D5CC6"/>
    <w:rsid w:val="58207565"/>
    <w:rsid w:val="586410CB"/>
    <w:rsid w:val="586F796C"/>
    <w:rsid w:val="587A2E6A"/>
    <w:rsid w:val="58984BC1"/>
    <w:rsid w:val="58AE0E55"/>
    <w:rsid w:val="58B402B0"/>
    <w:rsid w:val="58CC7432"/>
    <w:rsid w:val="58CF7BD7"/>
    <w:rsid w:val="58F070CC"/>
    <w:rsid w:val="58FD31FE"/>
    <w:rsid w:val="592941F7"/>
    <w:rsid w:val="5932798A"/>
    <w:rsid w:val="593C2000"/>
    <w:rsid w:val="594A6647"/>
    <w:rsid w:val="59822285"/>
    <w:rsid w:val="599E075E"/>
    <w:rsid w:val="59BC5C49"/>
    <w:rsid w:val="5A010086"/>
    <w:rsid w:val="5A026F22"/>
    <w:rsid w:val="5A2F2C71"/>
    <w:rsid w:val="5A74223A"/>
    <w:rsid w:val="5A816620"/>
    <w:rsid w:val="5AE468D4"/>
    <w:rsid w:val="5AFB13A2"/>
    <w:rsid w:val="5B1D480B"/>
    <w:rsid w:val="5B684D78"/>
    <w:rsid w:val="5B86565A"/>
    <w:rsid w:val="5BCE4792"/>
    <w:rsid w:val="5C0351D3"/>
    <w:rsid w:val="5C164A3C"/>
    <w:rsid w:val="5C292DE4"/>
    <w:rsid w:val="5C371C4A"/>
    <w:rsid w:val="5C3D34C1"/>
    <w:rsid w:val="5C690F2A"/>
    <w:rsid w:val="5C7D3BDD"/>
    <w:rsid w:val="5C80388C"/>
    <w:rsid w:val="5C93740B"/>
    <w:rsid w:val="5CA0714E"/>
    <w:rsid w:val="5CA743A0"/>
    <w:rsid w:val="5CAF2391"/>
    <w:rsid w:val="5CC12543"/>
    <w:rsid w:val="5CCF1351"/>
    <w:rsid w:val="5CDA5219"/>
    <w:rsid w:val="5CDC7EFE"/>
    <w:rsid w:val="5D046951"/>
    <w:rsid w:val="5D090EAB"/>
    <w:rsid w:val="5D1221E4"/>
    <w:rsid w:val="5D24413E"/>
    <w:rsid w:val="5D274BB6"/>
    <w:rsid w:val="5D407AD5"/>
    <w:rsid w:val="5D5418FE"/>
    <w:rsid w:val="5D936FC2"/>
    <w:rsid w:val="5DA12631"/>
    <w:rsid w:val="5DA92CB7"/>
    <w:rsid w:val="5DB46129"/>
    <w:rsid w:val="5DB67A98"/>
    <w:rsid w:val="5DDE7CA6"/>
    <w:rsid w:val="5DEA21A7"/>
    <w:rsid w:val="5E192A8C"/>
    <w:rsid w:val="5E1D62E0"/>
    <w:rsid w:val="5E217EDA"/>
    <w:rsid w:val="5E2C7A84"/>
    <w:rsid w:val="5E305AC0"/>
    <w:rsid w:val="5E59187D"/>
    <w:rsid w:val="5E896574"/>
    <w:rsid w:val="5E931CBE"/>
    <w:rsid w:val="5E993DAA"/>
    <w:rsid w:val="5ECD7B33"/>
    <w:rsid w:val="5EEE3F19"/>
    <w:rsid w:val="5EF163C6"/>
    <w:rsid w:val="5EF84D97"/>
    <w:rsid w:val="5EFB45F8"/>
    <w:rsid w:val="5F040AC4"/>
    <w:rsid w:val="5F125E59"/>
    <w:rsid w:val="5F2370DE"/>
    <w:rsid w:val="5F2D2C93"/>
    <w:rsid w:val="5F3403DA"/>
    <w:rsid w:val="5F583033"/>
    <w:rsid w:val="5F7302E2"/>
    <w:rsid w:val="5F8C39E4"/>
    <w:rsid w:val="5FB46F10"/>
    <w:rsid w:val="5FC56EB7"/>
    <w:rsid w:val="5FCD1D80"/>
    <w:rsid w:val="5FDC6F9A"/>
    <w:rsid w:val="5FE47AF1"/>
    <w:rsid w:val="5FEF1CF6"/>
    <w:rsid w:val="5FF02E9D"/>
    <w:rsid w:val="5FF4627E"/>
    <w:rsid w:val="601D6507"/>
    <w:rsid w:val="60636002"/>
    <w:rsid w:val="606E6DF3"/>
    <w:rsid w:val="60761DBF"/>
    <w:rsid w:val="60786205"/>
    <w:rsid w:val="60874625"/>
    <w:rsid w:val="60C66314"/>
    <w:rsid w:val="60C82547"/>
    <w:rsid w:val="60D72BFD"/>
    <w:rsid w:val="60E003F6"/>
    <w:rsid w:val="60E92BEA"/>
    <w:rsid w:val="60EA59BC"/>
    <w:rsid w:val="61151C31"/>
    <w:rsid w:val="61180FC9"/>
    <w:rsid w:val="61220CAC"/>
    <w:rsid w:val="612B0C0C"/>
    <w:rsid w:val="613528A4"/>
    <w:rsid w:val="613F63C8"/>
    <w:rsid w:val="61805C80"/>
    <w:rsid w:val="61D34BD1"/>
    <w:rsid w:val="620A3AE3"/>
    <w:rsid w:val="620D6DAC"/>
    <w:rsid w:val="62291AD7"/>
    <w:rsid w:val="622D2FAA"/>
    <w:rsid w:val="623B56C7"/>
    <w:rsid w:val="627732CB"/>
    <w:rsid w:val="628C34D3"/>
    <w:rsid w:val="62C268F1"/>
    <w:rsid w:val="62D60F4C"/>
    <w:rsid w:val="62E93375"/>
    <w:rsid w:val="63230A31"/>
    <w:rsid w:val="63293CF4"/>
    <w:rsid w:val="63304ADA"/>
    <w:rsid w:val="633C122A"/>
    <w:rsid w:val="634B03EC"/>
    <w:rsid w:val="636C7B02"/>
    <w:rsid w:val="636F7BF7"/>
    <w:rsid w:val="63793912"/>
    <w:rsid w:val="63CD4FBB"/>
    <w:rsid w:val="63D3192F"/>
    <w:rsid w:val="64007CDB"/>
    <w:rsid w:val="6404272F"/>
    <w:rsid w:val="64195594"/>
    <w:rsid w:val="642A353F"/>
    <w:rsid w:val="642B45B1"/>
    <w:rsid w:val="644F7208"/>
    <w:rsid w:val="64544042"/>
    <w:rsid w:val="64572560"/>
    <w:rsid w:val="64575BF2"/>
    <w:rsid w:val="646C600B"/>
    <w:rsid w:val="647A4942"/>
    <w:rsid w:val="648079FC"/>
    <w:rsid w:val="648809B2"/>
    <w:rsid w:val="648E0D65"/>
    <w:rsid w:val="64AD2AA7"/>
    <w:rsid w:val="64AE2BBE"/>
    <w:rsid w:val="650979D3"/>
    <w:rsid w:val="651D10B4"/>
    <w:rsid w:val="654131DA"/>
    <w:rsid w:val="655479F8"/>
    <w:rsid w:val="65896749"/>
    <w:rsid w:val="658B26C3"/>
    <w:rsid w:val="659B2D75"/>
    <w:rsid w:val="65C43C25"/>
    <w:rsid w:val="6624556D"/>
    <w:rsid w:val="662A081B"/>
    <w:rsid w:val="66694C9E"/>
    <w:rsid w:val="669960F6"/>
    <w:rsid w:val="66A658E8"/>
    <w:rsid w:val="66B23A7E"/>
    <w:rsid w:val="66CA0DC7"/>
    <w:rsid w:val="66CB7E92"/>
    <w:rsid w:val="66D30F33"/>
    <w:rsid w:val="66EC51E2"/>
    <w:rsid w:val="67193823"/>
    <w:rsid w:val="67206C39"/>
    <w:rsid w:val="672D4601"/>
    <w:rsid w:val="677F7207"/>
    <w:rsid w:val="67BA7CD0"/>
    <w:rsid w:val="67BB4BB4"/>
    <w:rsid w:val="67C1041C"/>
    <w:rsid w:val="67CA4A29"/>
    <w:rsid w:val="67F931B2"/>
    <w:rsid w:val="68136565"/>
    <w:rsid w:val="68336E43"/>
    <w:rsid w:val="68352BB8"/>
    <w:rsid w:val="6836496C"/>
    <w:rsid w:val="68444BA9"/>
    <w:rsid w:val="68817BAC"/>
    <w:rsid w:val="6892315D"/>
    <w:rsid w:val="68994EF5"/>
    <w:rsid w:val="68A768B9"/>
    <w:rsid w:val="68AB4C28"/>
    <w:rsid w:val="68AD4616"/>
    <w:rsid w:val="68B95597"/>
    <w:rsid w:val="68D04DC4"/>
    <w:rsid w:val="68FE2FAA"/>
    <w:rsid w:val="69096BB1"/>
    <w:rsid w:val="691D5D30"/>
    <w:rsid w:val="691E6231"/>
    <w:rsid w:val="692E71CC"/>
    <w:rsid w:val="695C304C"/>
    <w:rsid w:val="69676F39"/>
    <w:rsid w:val="696B331F"/>
    <w:rsid w:val="697A346E"/>
    <w:rsid w:val="69803F46"/>
    <w:rsid w:val="69B348F5"/>
    <w:rsid w:val="6A0E546F"/>
    <w:rsid w:val="6A1F091A"/>
    <w:rsid w:val="6A2D51BC"/>
    <w:rsid w:val="6A554E4C"/>
    <w:rsid w:val="6A9E67C8"/>
    <w:rsid w:val="6ABD5E61"/>
    <w:rsid w:val="6ACA67EA"/>
    <w:rsid w:val="6AE61F48"/>
    <w:rsid w:val="6B391D9A"/>
    <w:rsid w:val="6B4856BF"/>
    <w:rsid w:val="6B4F37E4"/>
    <w:rsid w:val="6B505736"/>
    <w:rsid w:val="6B58732F"/>
    <w:rsid w:val="6B680BAF"/>
    <w:rsid w:val="6B90226A"/>
    <w:rsid w:val="6B9D4209"/>
    <w:rsid w:val="6BC85316"/>
    <w:rsid w:val="6BF6440D"/>
    <w:rsid w:val="6C0C62B9"/>
    <w:rsid w:val="6C0E5BFA"/>
    <w:rsid w:val="6C0F0D93"/>
    <w:rsid w:val="6C1E3713"/>
    <w:rsid w:val="6C5C0714"/>
    <w:rsid w:val="6C852CE3"/>
    <w:rsid w:val="6C9C1863"/>
    <w:rsid w:val="6CCB7EB2"/>
    <w:rsid w:val="6CD90324"/>
    <w:rsid w:val="6CF43D37"/>
    <w:rsid w:val="6CFA6474"/>
    <w:rsid w:val="6D0136E1"/>
    <w:rsid w:val="6D064B23"/>
    <w:rsid w:val="6D2E0F86"/>
    <w:rsid w:val="6D6B0750"/>
    <w:rsid w:val="6D6F50FF"/>
    <w:rsid w:val="6D7F47F9"/>
    <w:rsid w:val="6D8C09C0"/>
    <w:rsid w:val="6D98614F"/>
    <w:rsid w:val="6D9F63CD"/>
    <w:rsid w:val="6DA135D7"/>
    <w:rsid w:val="6DAA1953"/>
    <w:rsid w:val="6DAB35B3"/>
    <w:rsid w:val="6DB93944"/>
    <w:rsid w:val="6DC00A3F"/>
    <w:rsid w:val="6DCD73EF"/>
    <w:rsid w:val="6DE210EC"/>
    <w:rsid w:val="6DE44918"/>
    <w:rsid w:val="6DE6443E"/>
    <w:rsid w:val="6E2C680B"/>
    <w:rsid w:val="6E6727C1"/>
    <w:rsid w:val="6E9758D2"/>
    <w:rsid w:val="6E9C4B53"/>
    <w:rsid w:val="6E9D3F79"/>
    <w:rsid w:val="6EA31572"/>
    <w:rsid w:val="6EBB7166"/>
    <w:rsid w:val="6EC90F69"/>
    <w:rsid w:val="6ED854FF"/>
    <w:rsid w:val="6EF56BFD"/>
    <w:rsid w:val="6F000857"/>
    <w:rsid w:val="6F031494"/>
    <w:rsid w:val="6F052E4D"/>
    <w:rsid w:val="6F1A7DC5"/>
    <w:rsid w:val="6F3911E0"/>
    <w:rsid w:val="6F416BF8"/>
    <w:rsid w:val="6F541B76"/>
    <w:rsid w:val="6F794D3F"/>
    <w:rsid w:val="6F986024"/>
    <w:rsid w:val="6FBF2A78"/>
    <w:rsid w:val="6FCA0035"/>
    <w:rsid w:val="6FD9207B"/>
    <w:rsid w:val="6FE95BE1"/>
    <w:rsid w:val="6FF93409"/>
    <w:rsid w:val="7005270A"/>
    <w:rsid w:val="70223A22"/>
    <w:rsid w:val="70367FE4"/>
    <w:rsid w:val="70422316"/>
    <w:rsid w:val="707B51B2"/>
    <w:rsid w:val="70C26565"/>
    <w:rsid w:val="70CE2A56"/>
    <w:rsid w:val="70E1569E"/>
    <w:rsid w:val="71312E46"/>
    <w:rsid w:val="71362903"/>
    <w:rsid w:val="71566D04"/>
    <w:rsid w:val="71627B0C"/>
    <w:rsid w:val="71690822"/>
    <w:rsid w:val="717515F1"/>
    <w:rsid w:val="718010C3"/>
    <w:rsid w:val="71A323FC"/>
    <w:rsid w:val="71BB2380"/>
    <w:rsid w:val="71CC67E1"/>
    <w:rsid w:val="72166784"/>
    <w:rsid w:val="7222765D"/>
    <w:rsid w:val="723162B7"/>
    <w:rsid w:val="723932A5"/>
    <w:rsid w:val="723F6439"/>
    <w:rsid w:val="727D3192"/>
    <w:rsid w:val="72A851C7"/>
    <w:rsid w:val="72ED12FA"/>
    <w:rsid w:val="72F53670"/>
    <w:rsid w:val="730E1CC8"/>
    <w:rsid w:val="731C0BFD"/>
    <w:rsid w:val="733C7E94"/>
    <w:rsid w:val="73487C44"/>
    <w:rsid w:val="73850C4E"/>
    <w:rsid w:val="738C32E5"/>
    <w:rsid w:val="73B61051"/>
    <w:rsid w:val="73C53042"/>
    <w:rsid w:val="741B604C"/>
    <w:rsid w:val="741F3BA9"/>
    <w:rsid w:val="742E508B"/>
    <w:rsid w:val="74555AF1"/>
    <w:rsid w:val="74747308"/>
    <w:rsid w:val="74911176"/>
    <w:rsid w:val="74A87A52"/>
    <w:rsid w:val="74AF784E"/>
    <w:rsid w:val="74C859A1"/>
    <w:rsid w:val="74E14737"/>
    <w:rsid w:val="74E21BA3"/>
    <w:rsid w:val="74E54917"/>
    <w:rsid w:val="74F54E09"/>
    <w:rsid w:val="75134054"/>
    <w:rsid w:val="754E7E22"/>
    <w:rsid w:val="75614247"/>
    <w:rsid w:val="757F5473"/>
    <w:rsid w:val="75970A0E"/>
    <w:rsid w:val="75B27CA5"/>
    <w:rsid w:val="75CE45CC"/>
    <w:rsid w:val="75E32129"/>
    <w:rsid w:val="762C66AF"/>
    <w:rsid w:val="763B76C4"/>
    <w:rsid w:val="763E70DC"/>
    <w:rsid w:val="76441132"/>
    <w:rsid w:val="765718D4"/>
    <w:rsid w:val="765A132B"/>
    <w:rsid w:val="766D51EC"/>
    <w:rsid w:val="768A2321"/>
    <w:rsid w:val="76C03F95"/>
    <w:rsid w:val="76D35780"/>
    <w:rsid w:val="76ED6C46"/>
    <w:rsid w:val="771018E1"/>
    <w:rsid w:val="77277F01"/>
    <w:rsid w:val="772C64A8"/>
    <w:rsid w:val="773014CC"/>
    <w:rsid w:val="773C78AE"/>
    <w:rsid w:val="776B538C"/>
    <w:rsid w:val="777A2396"/>
    <w:rsid w:val="77A063C5"/>
    <w:rsid w:val="77E12415"/>
    <w:rsid w:val="77FA73A4"/>
    <w:rsid w:val="780E49C8"/>
    <w:rsid w:val="781C50D1"/>
    <w:rsid w:val="783A73E1"/>
    <w:rsid w:val="7860333A"/>
    <w:rsid w:val="7883171E"/>
    <w:rsid w:val="78A504F3"/>
    <w:rsid w:val="78AA221D"/>
    <w:rsid w:val="78BD0A5A"/>
    <w:rsid w:val="78C733B9"/>
    <w:rsid w:val="78E26830"/>
    <w:rsid w:val="78E554C6"/>
    <w:rsid w:val="79071F6A"/>
    <w:rsid w:val="792702FB"/>
    <w:rsid w:val="79352A18"/>
    <w:rsid w:val="79555AEE"/>
    <w:rsid w:val="79690914"/>
    <w:rsid w:val="79694470"/>
    <w:rsid w:val="79751067"/>
    <w:rsid w:val="7987153D"/>
    <w:rsid w:val="79984D55"/>
    <w:rsid w:val="799D63DD"/>
    <w:rsid w:val="79A74F98"/>
    <w:rsid w:val="79CA28B5"/>
    <w:rsid w:val="79E32474"/>
    <w:rsid w:val="79F530BD"/>
    <w:rsid w:val="79F97E97"/>
    <w:rsid w:val="7A0A6548"/>
    <w:rsid w:val="7A2F1C6C"/>
    <w:rsid w:val="7A434029"/>
    <w:rsid w:val="7A643E8C"/>
    <w:rsid w:val="7A770E0E"/>
    <w:rsid w:val="7A7757EF"/>
    <w:rsid w:val="7AC16BEA"/>
    <w:rsid w:val="7AFD6CDB"/>
    <w:rsid w:val="7AFE508C"/>
    <w:rsid w:val="7B08484F"/>
    <w:rsid w:val="7B3559DB"/>
    <w:rsid w:val="7B537186"/>
    <w:rsid w:val="7B570447"/>
    <w:rsid w:val="7B5B420D"/>
    <w:rsid w:val="7B6211F2"/>
    <w:rsid w:val="7B622D1B"/>
    <w:rsid w:val="7B9A4DB4"/>
    <w:rsid w:val="7BB3231A"/>
    <w:rsid w:val="7BC2255D"/>
    <w:rsid w:val="7BC83240"/>
    <w:rsid w:val="7BE02574"/>
    <w:rsid w:val="7BFE17E7"/>
    <w:rsid w:val="7C376AA7"/>
    <w:rsid w:val="7C427AE7"/>
    <w:rsid w:val="7C63164A"/>
    <w:rsid w:val="7C6538D4"/>
    <w:rsid w:val="7C7C6F68"/>
    <w:rsid w:val="7C815229"/>
    <w:rsid w:val="7C8E441D"/>
    <w:rsid w:val="7C9948E3"/>
    <w:rsid w:val="7CB43C54"/>
    <w:rsid w:val="7CB9686F"/>
    <w:rsid w:val="7CBA4FE2"/>
    <w:rsid w:val="7CCA3081"/>
    <w:rsid w:val="7CDA44AF"/>
    <w:rsid w:val="7CED53B8"/>
    <w:rsid w:val="7CFB1883"/>
    <w:rsid w:val="7D035D55"/>
    <w:rsid w:val="7D083FA0"/>
    <w:rsid w:val="7D1868D9"/>
    <w:rsid w:val="7D275C92"/>
    <w:rsid w:val="7D376633"/>
    <w:rsid w:val="7D3B25C7"/>
    <w:rsid w:val="7D3E099A"/>
    <w:rsid w:val="7D4B202A"/>
    <w:rsid w:val="7D513339"/>
    <w:rsid w:val="7D733B0F"/>
    <w:rsid w:val="7D847ACA"/>
    <w:rsid w:val="7DA912DF"/>
    <w:rsid w:val="7DC62DEE"/>
    <w:rsid w:val="7E050AF4"/>
    <w:rsid w:val="7E1A042F"/>
    <w:rsid w:val="7E1F77F3"/>
    <w:rsid w:val="7E2F4890"/>
    <w:rsid w:val="7E347103"/>
    <w:rsid w:val="7E482B97"/>
    <w:rsid w:val="7E5A0B3A"/>
    <w:rsid w:val="7E6C3ECF"/>
    <w:rsid w:val="7E742A76"/>
    <w:rsid w:val="7E763C57"/>
    <w:rsid w:val="7E8B7043"/>
    <w:rsid w:val="7E93497E"/>
    <w:rsid w:val="7E9B156F"/>
    <w:rsid w:val="7E9E696A"/>
    <w:rsid w:val="7EB937A4"/>
    <w:rsid w:val="7EBF77E1"/>
    <w:rsid w:val="7EC107E4"/>
    <w:rsid w:val="7EC84539"/>
    <w:rsid w:val="7EFB719C"/>
    <w:rsid w:val="7F425A56"/>
    <w:rsid w:val="7F65392B"/>
    <w:rsid w:val="7F76029A"/>
    <w:rsid w:val="7F771C7A"/>
    <w:rsid w:val="7F8D69DE"/>
    <w:rsid w:val="7F9D2EA8"/>
    <w:rsid w:val="7FAB51EF"/>
    <w:rsid w:val="7FAD10DA"/>
    <w:rsid w:val="7FBD3767"/>
    <w:rsid w:val="7FE779F8"/>
    <w:rsid w:val="7FEC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style>
  <w:style w:type="paragraph" w:styleId="6">
    <w:name w:val="Body Text"/>
    <w:basedOn w:val="1"/>
    <w:next w:val="1"/>
    <w:qFormat/>
    <w:uiPriority w:val="1"/>
    <w:rPr>
      <w:rFonts w:ascii="宋体" w:hAnsi="宋体" w:eastAsia="宋体" w:cs="宋体"/>
      <w:sz w:val="24"/>
      <w:szCs w:val="24"/>
    </w:rPr>
  </w:style>
  <w:style w:type="paragraph" w:styleId="7">
    <w:name w:val="Body Text Indent"/>
    <w:basedOn w:val="1"/>
    <w:next w:val="8"/>
    <w:qFormat/>
    <w:uiPriority w:val="0"/>
    <w:pPr>
      <w:spacing w:line="380" w:lineRule="exact"/>
      <w:ind w:firstLine="480"/>
    </w:pPr>
    <w:rPr>
      <w:rFonts w:eastAsia="方正书宋简体"/>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99"/>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7"/>
    <w:next w:val="1"/>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qFormat/>
    <w:uiPriority w:val="0"/>
    <w:rPr>
      <w:sz w:val="21"/>
      <w:szCs w:val="21"/>
    </w:rPr>
  </w:style>
  <w:style w:type="character" w:styleId="21">
    <w:name w:val="footnote reference"/>
    <w:basedOn w:val="18"/>
    <w:qFormat/>
    <w:uiPriority w:val="0"/>
    <w:rPr>
      <w:vertAlign w:val="superscript"/>
    </w:rPr>
  </w:style>
  <w:style w:type="paragraph" w:customStyle="1" w:styleId="22">
    <w:name w:val="正文正"/>
    <w:basedOn w:val="1"/>
    <w:qFormat/>
    <w:uiPriority w:val="0"/>
    <w:pPr>
      <w:spacing w:line="560" w:lineRule="exact"/>
      <w:ind w:firstLine="561"/>
    </w:pPr>
    <w:rPr>
      <w:rFonts w:eastAsia="仿宋_GB2312"/>
      <w:sz w:val="28"/>
    </w:rPr>
  </w:style>
  <w:style w:type="paragraph" w:customStyle="1" w:styleId="23">
    <w:name w:val="样式 宋体 行距: 1.5 倍行距"/>
    <w:basedOn w:val="1"/>
    <w:qFormat/>
    <w:uiPriority w:val="0"/>
    <w:pPr>
      <w:jc w:val="center"/>
    </w:pPr>
    <w:rPr>
      <w:b/>
      <w:szCs w:val="22"/>
    </w:rPr>
  </w:style>
  <w:style w:type="paragraph" w:customStyle="1" w:styleId="24">
    <w:name w:val="列出段落1"/>
    <w:basedOn w:val="1"/>
    <w:next w:val="25"/>
    <w:qFormat/>
    <w:uiPriority w:val="0"/>
    <w:pPr>
      <w:autoSpaceDE w:val="0"/>
      <w:autoSpaceDN w:val="0"/>
      <w:adjustRightInd w:val="0"/>
      <w:snapToGrid w:val="0"/>
      <w:spacing w:before="0" w:beforeLines="0" w:after="0" w:afterLines="0" w:line="360" w:lineRule="auto"/>
      <w:ind w:firstLine="420"/>
    </w:pPr>
    <w:rPr>
      <w:rFonts w:eastAsia="宋体" w:cs="Times New Roman"/>
      <w:spacing w:val="10"/>
      <w:kern w:val="0"/>
      <w:sz w:val="24"/>
      <w:szCs w:val="24"/>
    </w:rPr>
  </w:style>
  <w:style w:type="paragraph" w:styleId="25">
    <w:name w:val="List Paragraph"/>
    <w:basedOn w:val="1"/>
    <w:qFormat/>
    <w:uiPriority w:val="0"/>
    <w:pPr>
      <w:ind w:firstLine="420" w:firstLineChars="200"/>
    </w:pPr>
  </w:style>
  <w:style w:type="paragraph" w:customStyle="1" w:styleId="26">
    <w:name w:val="_Style 2"/>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27">
    <w:name w:val="列出段落11"/>
    <w:basedOn w:val="1"/>
    <w:qFormat/>
    <w:uiPriority w:val="34"/>
    <w:pPr>
      <w:ind w:firstLine="420" w:firstLineChars="200"/>
    </w:pPr>
    <w:rPr>
      <w:rFonts w:ascii="Calibri" w:hAnsi="Calibri" w:eastAsia="宋体" w:cs="Times New Roman"/>
      <w:szCs w:val="22"/>
      <w:lang w:val="zh-CN"/>
    </w:rPr>
  </w:style>
  <w:style w:type="character" w:customStyle="1" w:styleId="28">
    <w:name w:val="正文文本 (2) + 10 pt37"/>
    <w:qFormat/>
    <w:uiPriority w:val="99"/>
    <w:rPr>
      <w:rFonts w:ascii="MingLiU" w:eastAsia="MingLiU" w:cs="MingLiU"/>
      <w:spacing w:val="0"/>
      <w:sz w:val="20"/>
      <w:szCs w:val="20"/>
      <w:u w:val="none"/>
    </w:rPr>
  </w:style>
  <w:style w:type="paragraph" w:customStyle="1" w:styleId="29">
    <w:name w:val="宋体加粗内文"/>
    <w:basedOn w:val="1"/>
    <w:qFormat/>
    <w:uiPriority w:val="0"/>
    <w:pPr>
      <w:spacing w:line="404" w:lineRule="exact"/>
    </w:pPr>
    <w:rPr>
      <w:rFonts w:ascii="方正书宋简体" w:hAnsi="宋体" w:eastAsia="方正书宋简体" w:cs="宋体"/>
      <w:b/>
      <w:kern w:val="0"/>
    </w:rPr>
  </w:style>
  <w:style w:type="paragraph" w:customStyle="1" w:styleId="30">
    <w:name w:val="样式 标题 2 + Times New Roman 四号 非加粗 段前: 5 磅 段后: 0 磅 行距: 固定值 20..."/>
    <w:basedOn w:val="3"/>
    <w:qFormat/>
    <w:uiPriority w:val="0"/>
    <w:pPr>
      <w:numPr>
        <w:ilvl w:val="0"/>
        <w:numId w:val="0"/>
      </w:numPr>
      <w:spacing w:before="100" w:after="0" w:line="400" w:lineRule="exact"/>
      <w:jc w:val="both"/>
    </w:pPr>
    <w:rPr>
      <w:rFonts w:ascii="Times New Roman" w:hAnsi="Times New Roman" w:cs="宋体"/>
      <w:sz w:val="28"/>
    </w:rPr>
  </w:style>
  <w:style w:type="paragraph" w:customStyle="1" w:styleId="31">
    <w:name w:val="正文文本 (2)1"/>
    <w:basedOn w:val="1"/>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32">
    <w:name w:val="正文文本 (2) + 间距 0 pt3"/>
    <w:qFormat/>
    <w:uiPriority w:val="99"/>
    <w:rPr>
      <w:rFonts w:ascii="MingLiU" w:eastAsia="MingLiU" w:cs="MingLiU"/>
      <w:spacing w:val="0"/>
      <w:sz w:val="22"/>
      <w:szCs w:val="22"/>
      <w:u w:val="none"/>
    </w:rPr>
  </w:style>
  <w:style w:type="character" w:customStyle="1" w:styleId="33">
    <w:name w:val="正文文本 (2) + 间距 0 pt5"/>
    <w:qFormat/>
    <w:uiPriority w:val="99"/>
    <w:rPr>
      <w:rFonts w:ascii="MingLiU" w:eastAsia="MingLiU" w:cs="MingLiU"/>
      <w:spacing w:val="0"/>
      <w:sz w:val="22"/>
      <w:szCs w:val="22"/>
      <w:u w:val="none"/>
    </w:rPr>
  </w:style>
  <w:style w:type="character" w:customStyle="1" w:styleId="34">
    <w:name w:val="正文文本 (2) + 10 pt24"/>
    <w:qFormat/>
    <w:uiPriority w:val="99"/>
    <w:rPr>
      <w:rFonts w:ascii="MingLiU" w:eastAsia="MingLiU" w:cs="MingLiU"/>
      <w:b/>
      <w:bCs/>
      <w:spacing w:val="0"/>
      <w:sz w:val="20"/>
      <w:szCs w:val="20"/>
      <w:u w:val="none"/>
    </w:rPr>
  </w:style>
  <w:style w:type="paragraph" w:customStyle="1" w:styleId="35">
    <w:name w:val="表格文字"/>
    <w:basedOn w:val="36"/>
    <w:qFormat/>
    <w:uiPriority w:val="0"/>
    <w:pPr>
      <w:spacing w:before="25" w:after="25"/>
      <w:jc w:val="left"/>
    </w:pPr>
    <w:rPr>
      <w:bCs/>
      <w:spacing w:val="10"/>
      <w:sz w:val="24"/>
      <w:szCs w:val="22"/>
    </w:rPr>
  </w:style>
  <w:style w:type="paragraph" w:customStyle="1" w:styleId="36">
    <w:name w:val="表格文字（两侧对齐）"/>
    <w:basedOn w:val="1"/>
    <w:qFormat/>
    <w:uiPriority w:val="0"/>
    <w:pPr>
      <w:snapToGrid w:val="0"/>
    </w:pPr>
    <w:rPr>
      <w:kern w:val="0"/>
      <w:sz w:val="20"/>
    </w:rPr>
  </w:style>
  <w:style w:type="paragraph" w:customStyle="1" w:styleId="37">
    <w:name w:val="Table Paragraph"/>
    <w:basedOn w:val="1"/>
    <w:qFormat/>
    <w:uiPriority w:val="1"/>
    <w:rPr>
      <w:rFonts w:ascii="宋体" w:hAnsi="宋体" w:eastAsia="宋体" w:cs="宋体"/>
    </w:rPr>
  </w:style>
  <w:style w:type="paragraph" w:customStyle="1" w:styleId="38">
    <w:name w:val="Header or footer|2"/>
    <w:qFormat/>
    <w:uiPriority w:val="0"/>
    <w:pPr>
      <w:widowControl w:val="0"/>
    </w:pPr>
    <w:rPr>
      <w:rFonts w:ascii="Times New Roman" w:hAnsi="Times New Roman" w:eastAsia="Times New Roman" w:cs="Times New Roman"/>
      <w:color w:val="000000"/>
      <w:lang w:val="zh-TW" w:eastAsia="zh-TW" w:bidi="zh-TW"/>
    </w:rPr>
  </w:style>
  <w:style w:type="character" w:customStyle="1" w:styleId="39">
    <w:name w:val="font01"/>
    <w:basedOn w:val="18"/>
    <w:qFormat/>
    <w:uiPriority w:val="0"/>
    <w:rPr>
      <w:rFonts w:hint="eastAsia" w:ascii="宋体" w:hAnsi="宋体" w:eastAsia="宋体" w:cs="宋体"/>
      <w:color w:val="000000"/>
      <w:sz w:val="20"/>
      <w:szCs w:val="20"/>
      <w:u w:val="none"/>
    </w:rPr>
  </w:style>
  <w:style w:type="character" w:customStyle="1" w:styleId="40">
    <w:name w:val="font21"/>
    <w:basedOn w:val="18"/>
    <w:qFormat/>
    <w:uiPriority w:val="0"/>
    <w:rPr>
      <w:rFonts w:ascii="宋体" w:hAnsi="宋体" w:eastAsia="宋体" w:cs="宋体"/>
      <w:color w:val="000000"/>
      <w:sz w:val="12"/>
      <w:szCs w:val="12"/>
      <w:u w:val="none"/>
    </w:rPr>
  </w:style>
  <w:style w:type="character" w:customStyle="1" w:styleId="41">
    <w:name w:val="font31"/>
    <w:basedOn w:val="18"/>
    <w:qFormat/>
    <w:uiPriority w:val="0"/>
    <w:rPr>
      <w:rFonts w:ascii="宋体" w:hAnsi="宋体" w:eastAsia="宋体" w:cs="宋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27553</Words>
  <Characters>28874</Characters>
  <Lines>0</Lines>
  <Paragraphs>0</Paragraphs>
  <TotalTime>11</TotalTime>
  <ScaleCrop>false</ScaleCrop>
  <LinksUpToDate>false</LinksUpToDate>
  <CharactersWithSpaces>30939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2022-03-25T00:45:00Z</dcterms:created>
  <dc:creator>老翟</dc:creator>
  <cp:lastModifiedBy>碎碎碎、</cp:lastModifiedBy>
  <cp:lastPrinted>2023-08-21T08:17:00Z</cp:lastPrinted>
  <dcterms:modified xsi:type="dcterms:W3CDTF">2023-10-30T00:30:27Z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E832E98AA538499B83A7B6C113DE529F_13</vt:lpwstr>
  </property>
</Properties>
</file>