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b/>
          <w:color w:val="auto"/>
          <w:sz w:val="32"/>
          <w:szCs w:val="32"/>
        </w:rPr>
      </w:pPr>
    </w:p>
    <w:p>
      <w:pPr>
        <w:pStyle w:val="18"/>
        <w:rPr>
          <w:rFonts w:ascii="仿宋_GB2312" w:hAnsi="仿宋_GB2312" w:eastAsia="仿宋_GB2312" w:cs="仿宋_GB2312"/>
          <w:b/>
          <w:color w:val="auto"/>
          <w:sz w:val="32"/>
          <w:szCs w:val="32"/>
        </w:rPr>
      </w:pPr>
    </w:p>
    <w:p>
      <w:pPr>
        <w:rPr>
          <w:rFonts w:ascii="仿宋_GB2312" w:hAnsi="仿宋_GB2312" w:eastAsia="仿宋_GB2312" w:cs="仿宋_GB2312"/>
          <w:b/>
          <w:color w:val="auto"/>
          <w:sz w:val="52"/>
          <w:szCs w:val="52"/>
        </w:rPr>
      </w:pPr>
    </w:p>
    <w:p>
      <w:pPr>
        <w:pStyle w:val="18"/>
        <w:rPr>
          <w:color w:val="auto"/>
        </w:rPr>
      </w:pPr>
    </w:p>
    <w:p>
      <w:pPr>
        <w:rPr>
          <w:color w:val="auto"/>
        </w:rPr>
      </w:pPr>
    </w:p>
    <w:p>
      <w:pPr>
        <w:pStyle w:val="18"/>
        <w:rPr>
          <w:color w:val="auto"/>
        </w:rPr>
      </w:pPr>
    </w:p>
    <w:p>
      <w:pPr>
        <w:pStyle w:val="18"/>
        <w:ind w:firstLine="0"/>
        <w:rPr>
          <w:color w:val="auto"/>
        </w:rPr>
      </w:pPr>
    </w:p>
    <w:p>
      <w:pPr>
        <w:spacing w:line="360" w:lineRule="auto"/>
        <w:jc w:val="center"/>
        <w:rPr>
          <w:rFonts w:hint="eastAsia" w:ascii="仿宋_GB2312" w:hAnsi="仿宋_GB2312" w:eastAsia="仿宋_GB2312" w:cs="仿宋_GB2312"/>
          <w:b/>
          <w:color w:val="auto"/>
          <w:sz w:val="52"/>
          <w:szCs w:val="52"/>
          <w:lang w:eastAsia="zh-CN"/>
        </w:rPr>
      </w:pPr>
      <w:r>
        <w:rPr>
          <w:rFonts w:hint="eastAsia" w:ascii="仿宋_GB2312" w:hAnsi="仿宋_GB2312" w:eastAsia="仿宋_GB2312" w:cs="仿宋_GB2312"/>
          <w:b/>
          <w:color w:val="auto"/>
          <w:sz w:val="52"/>
          <w:szCs w:val="52"/>
          <w:lang w:eastAsia="zh-CN"/>
        </w:rPr>
        <w:t>肇庆市港口投资发展有限公司</w:t>
      </w:r>
    </w:p>
    <w:p>
      <w:pPr>
        <w:spacing w:line="360" w:lineRule="auto"/>
        <w:jc w:val="center"/>
        <w:rPr>
          <w:rFonts w:hint="eastAsia" w:ascii="仿宋_GB2312" w:hAnsi="仿宋_GB2312" w:eastAsia="仿宋_GB2312" w:cs="仿宋_GB2312"/>
          <w:b/>
          <w:color w:val="auto"/>
          <w:sz w:val="52"/>
          <w:szCs w:val="52"/>
          <w:lang w:eastAsia="zh-CN"/>
        </w:rPr>
      </w:pPr>
      <w:r>
        <w:rPr>
          <w:rFonts w:hint="eastAsia" w:ascii="仿宋_GB2312" w:hAnsi="仿宋_GB2312" w:eastAsia="仿宋_GB2312" w:cs="仿宋_GB2312"/>
          <w:b/>
          <w:color w:val="auto"/>
          <w:sz w:val="52"/>
          <w:szCs w:val="52"/>
          <w:lang w:eastAsia="zh-CN"/>
        </w:rPr>
        <w:t>人力资源管理咨询服务项目</w:t>
      </w:r>
    </w:p>
    <w:p>
      <w:pPr>
        <w:spacing w:line="360" w:lineRule="auto"/>
        <w:ind w:firstLine="120" w:firstLineChars="50"/>
        <w:jc w:val="center"/>
        <w:rPr>
          <w:rFonts w:ascii="仿宋_GB2312" w:hAnsi="仿宋_GB2312" w:eastAsia="仿宋_GB2312" w:cs="仿宋_GB2312"/>
          <w:b/>
          <w:color w:val="auto"/>
          <w:sz w:val="24"/>
        </w:rPr>
      </w:pPr>
    </w:p>
    <w:p>
      <w:pPr>
        <w:spacing w:line="360" w:lineRule="auto"/>
        <w:ind w:firstLine="240" w:firstLineChars="50"/>
        <w:jc w:val="center"/>
        <w:rPr>
          <w:rFonts w:ascii="仿宋_GB2312" w:hAnsi="仿宋_GB2312" w:eastAsia="仿宋_GB2312" w:cs="仿宋_GB2312"/>
          <w:b/>
          <w:color w:val="auto"/>
          <w:sz w:val="48"/>
          <w:szCs w:val="48"/>
        </w:rPr>
      </w:pPr>
      <w:r>
        <w:rPr>
          <w:rFonts w:hint="eastAsia" w:ascii="仿宋_GB2312" w:hAnsi="仿宋_GB2312" w:eastAsia="仿宋_GB2312" w:cs="仿宋_GB2312"/>
          <w:b/>
          <w:color w:val="auto"/>
          <w:sz w:val="48"/>
          <w:szCs w:val="48"/>
        </w:rPr>
        <w:t>自主招标文件</w:t>
      </w:r>
    </w:p>
    <w:p>
      <w:pPr>
        <w:spacing w:line="480" w:lineRule="exact"/>
        <w:jc w:val="center"/>
        <w:rPr>
          <w:rFonts w:ascii="仿宋_GB2312" w:hAnsi="仿宋_GB2312" w:eastAsia="仿宋_GB2312" w:cs="仿宋_GB2312"/>
          <w:b/>
          <w:color w:val="auto"/>
          <w:sz w:val="24"/>
        </w:rPr>
      </w:pPr>
    </w:p>
    <w:p>
      <w:pPr>
        <w:spacing w:line="480" w:lineRule="exact"/>
        <w:jc w:val="center"/>
        <w:rPr>
          <w:rFonts w:ascii="仿宋_GB2312" w:hAnsi="仿宋_GB2312" w:eastAsia="仿宋_GB2312" w:cs="仿宋_GB2312"/>
          <w:b/>
          <w:color w:val="auto"/>
          <w:sz w:val="24"/>
        </w:rPr>
      </w:pPr>
    </w:p>
    <w:p>
      <w:pPr>
        <w:spacing w:line="480" w:lineRule="exact"/>
        <w:jc w:val="center"/>
        <w:rPr>
          <w:rFonts w:ascii="仿宋_GB2312" w:hAnsi="仿宋_GB2312" w:eastAsia="仿宋_GB2312" w:cs="仿宋_GB2312"/>
          <w:b/>
          <w:color w:val="auto"/>
          <w:sz w:val="24"/>
        </w:rPr>
      </w:pPr>
    </w:p>
    <w:p>
      <w:pPr>
        <w:spacing w:line="480" w:lineRule="exact"/>
        <w:jc w:val="center"/>
        <w:rPr>
          <w:rFonts w:ascii="仿宋_GB2312" w:hAnsi="仿宋_GB2312" w:eastAsia="仿宋_GB2312" w:cs="仿宋_GB2312"/>
          <w:b/>
          <w:color w:val="auto"/>
          <w:sz w:val="24"/>
        </w:rPr>
      </w:pPr>
    </w:p>
    <w:p>
      <w:pPr>
        <w:spacing w:line="480" w:lineRule="exact"/>
        <w:jc w:val="center"/>
        <w:rPr>
          <w:rFonts w:ascii="仿宋_GB2312" w:hAnsi="仿宋_GB2312" w:eastAsia="仿宋_GB2312" w:cs="仿宋_GB2312"/>
          <w:b/>
          <w:color w:val="auto"/>
          <w:sz w:val="24"/>
        </w:rPr>
      </w:pPr>
    </w:p>
    <w:p>
      <w:pPr>
        <w:spacing w:line="480" w:lineRule="exact"/>
        <w:jc w:val="both"/>
        <w:rPr>
          <w:rFonts w:ascii="仿宋_GB2312" w:hAnsi="仿宋_GB2312" w:eastAsia="仿宋_GB2312" w:cs="仿宋_GB2312"/>
          <w:b/>
          <w:color w:val="auto"/>
          <w:sz w:val="24"/>
        </w:rPr>
      </w:pPr>
    </w:p>
    <w:p>
      <w:pPr>
        <w:spacing w:line="480" w:lineRule="exact"/>
        <w:jc w:val="center"/>
        <w:rPr>
          <w:rFonts w:ascii="仿宋_GB2312" w:hAnsi="仿宋_GB2312" w:eastAsia="仿宋_GB2312" w:cs="仿宋_GB2312"/>
          <w:b/>
          <w:color w:val="auto"/>
          <w:sz w:val="24"/>
        </w:rPr>
      </w:pPr>
    </w:p>
    <w:p>
      <w:pPr>
        <w:spacing w:line="480" w:lineRule="exact"/>
        <w:jc w:val="center"/>
        <w:rPr>
          <w:rFonts w:ascii="仿宋_GB2312" w:hAnsi="仿宋_GB2312" w:eastAsia="仿宋_GB2312" w:cs="仿宋_GB2312"/>
          <w:b/>
          <w:color w:val="auto"/>
          <w:sz w:val="24"/>
        </w:rPr>
      </w:pPr>
    </w:p>
    <w:p>
      <w:pPr>
        <w:spacing w:line="360" w:lineRule="auto"/>
        <w:jc w:val="center"/>
        <w:rPr>
          <w:rFonts w:hint="eastAsia" w:ascii="仿宋_GB2312" w:hAnsi="仿宋_GB2312" w:eastAsia="仿宋_GB2312" w:cs="仿宋_GB2312"/>
          <w:b/>
          <w:color w:val="auto"/>
          <w:sz w:val="36"/>
          <w:szCs w:val="36"/>
          <w:lang w:eastAsia="zh-CN"/>
        </w:rPr>
      </w:pPr>
      <w:r>
        <w:rPr>
          <w:rFonts w:hint="eastAsia" w:ascii="仿宋_GB2312" w:hAnsi="仿宋_GB2312" w:eastAsia="仿宋_GB2312" w:cs="仿宋_GB2312"/>
          <w:b/>
          <w:color w:val="auto"/>
          <w:sz w:val="36"/>
          <w:szCs w:val="36"/>
        </w:rPr>
        <w:t>招标人：</w:t>
      </w:r>
      <w:r>
        <w:rPr>
          <w:rFonts w:hint="eastAsia" w:ascii="仿宋_GB2312" w:hAnsi="仿宋_GB2312" w:eastAsia="仿宋_GB2312" w:cs="仿宋_GB2312"/>
          <w:b/>
          <w:color w:val="auto"/>
          <w:sz w:val="36"/>
          <w:szCs w:val="36"/>
          <w:lang w:eastAsia="zh-CN"/>
        </w:rPr>
        <w:t>肇庆市港口投资发展有限公司</w:t>
      </w:r>
    </w:p>
    <w:p>
      <w:pPr>
        <w:spacing w:line="360" w:lineRule="auto"/>
        <w:ind w:firstLine="846" w:firstLineChars="235"/>
        <w:rPr>
          <w:rFonts w:ascii="仿宋_GB2312" w:hAnsi="仿宋_GB2312" w:eastAsia="仿宋_GB2312" w:cs="仿宋_GB2312"/>
          <w:b/>
          <w:color w:val="auto"/>
          <w:sz w:val="36"/>
          <w:szCs w:val="36"/>
        </w:rPr>
      </w:pPr>
      <w:r>
        <w:rPr>
          <w:rFonts w:hint="eastAsia" w:ascii="仿宋_GB2312" w:hAnsi="仿宋_GB2312" w:eastAsia="仿宋_GB2312" w:cs="仿宋_GB2312"/>
          <w:b/>
          <w:color w:val="auto"/>
          <w:sz w:val="36"/>
          <w:szCs w:val="36"/>
        </w:rPr>
        <w:t xml:space="preserve"> </w:t>
      </w:r>
    </w:p>
    <w:p>
      <w:pPr>
        <w:ind w:firstLine="846" w:firstLineChars="235"/>
        <w:jc w:val="center"/>
        <w:rPr>
          <w:rFonts w:ascii="仿宋_GB2312" w:hAnsi="仿宋_GB2312" w:eastAsia="仿宋_GB2312" w:cs="仿宋_GB2312"/>
          <w:b/>
          <w:bCs/>
          <w:color w:val="auto"/>
          <w:sz w:val="36"/>
          <w:szCs w:val="44"/>
        </w:rPr>
        <w:sectPr>
          <w:pgSz w:w="11906" w:h="16838"/>
          <w:pgMar w:top="1440" w:right="1800" w:bottom="1440" w:left="1800" w:header="851" w:footer="992" w:gutter="0"/>
          <w:cols w:space="720" w:num="1"/>
          <w:docGrid w:type="linesAndChars" w:linePitch="312" w:charSpace="0"/>
        </w:sectPr>
      </w:pPr>
      <w:r>
        <w:rPr>
          <w:rFonts w:hint="eastAsia" w:ascii="仿宋_GB2312" w:hAnsi="仿宋_GB2312" w:eastAsia="仿宋_GB2312" w:cs="仿宋_GB2312"/>
          <w:b/>
          <w:bCs/>
          <w:color w:val="auto"/>
          <w:sz w:val="36"/>
          <w:szCs w:val="44"/>
        </w:rPr>
        <w:t>2023年</w:t>
      </w:r>
      <w:r>
        <w:rPr>
          <w:rFonts w:hint="eastAsia" w:ascii="仿宋_GB2312" w:hAnsi="仿宋_GB2312" w:eastAsia="仿宋_GB2312" w:cs="仿宋_GB2312"/>
          <w:b/>
          <w:bCs/>
          <w:color w:val="auto"/>
          <w:sz w:val="36"/>
          <w:szCs w:val="44"/>
          <w:lang w:val="en-US" w:eastAsia="zh-CN"/>
        </w:rPr>
        <w:t>11</w:t>
      </w:r>
      <w:r>
        <w:rPr>
          <w:rFonts w:hint="eastAsia" w:ascii="仿宋_GB2312" w:hAnsi="仿宋_GB2312" w:eastAsia="仿宋_GB2312" w:cs="仿宋_GB2312"/>
          <w:b/>
          <w:bCs/>
          <w:color w:val="auto"/>
          <w:sz w:val="36"/>
          <w:szCs w:val="44"/>
        </w:rPr>
        <w:t>月</w:t>
      </w:r>
    </w:p>
    <w:p>
      <w:pPr>
        <w:pStyle w:val="27"/>
        <w:jc w:val="center"/>
        <w:rPr>
          <w:rFonts w:ascii="仿宋_GB2312" w:hAnsi="仿宋_GB2312" w:eastAsia="仿宋_GB2312" w:cs="仿宋_GB2312"/>
          <w:color w:val="auto"/>
          <w:sz w:val="44"/>
          <w:szCs w:val="44"/>
          <w:lang w:val="zh-CN"/>
        </w:rPr>
      </w:pPr>
      <w:r>
        <w:rPr>
          <w:rFonts w:hint="eastAsia" w:ascii="仿宋_GB2312" w:hAnsi="仿宋_GB2312" w:eastAsia="仿宋_GB2312" w:cs="仿宋_GB2312"/>
          <w:color w:val="auto"/>
          <w:sz w:val="44"/>
          <w:szCs w:val="44"/>
          <w:lang w:val="zh-CN"/>
        </w:rPr>
        <w:t>目  录</w:t>
      </w:r>
    </w:p>
    <w:p>
      <w:pPr>
        <w:pStyle w:val="14"/>
        <w:tabs>
          <w:tab w:val="right" w:leader="dot" w:pos="8306"/>
        </w:tabs>
        <w:spacing w:line="360" w:lineRule="auto"/>
        <w:rPr>
          <w:color w:val="auto"/>
          <w:sz w:val="28"/>
          <w:szCs w:val="28"/>
        </w:rPr>
      </w:pPr>
    </w:p>
    <w:p>
      <w:pPr>
        <w:pStyle w:val="14"/>
        <w:tabs>
          <w:tab w:val="right" w:leader="dot" w:pos="8306"/>
        </w:tabs>
        <w:spacing w:line="360" w:lineRule="auto"/>
        <w:rPr>
          <w:color w:val="auto"/>
          <w:sz w:val="28"/>
          <w:szCs w:val="28"/>
        </w:rPr>
      </w:pPr>
      <w:r>
        <w:rPr>
          <w:b/>
          <w:bCs/>
          <w:color w:val="auto"/>
          <w:sz w:val="28"/>
          <w:szCs w:val="28"/>
        </w:rPr>
        <w:fldChar w:fldCharType="begin"/>
      </w:r>
      <w:r>
        <w:rPr>
          <w:b/>
          <w:bCs/>
          <w:color w:val="auto"/>
          <w:sz w:val="28"/>
          <w:szCs w:val="28"/>
        </w:rPr>
        <w:instrText xml:space="preserve">TOC \o "1-1" \h \u </w:instrText>
      </w:r>
      <w:r>
        <w:rPr>
          <w:b/>
          <w:bCs/>
          <w:color w:val="auto"/>
          <w:sz w:val="28"/>
          <w:szCs w:val="28"/>
        </w:rPr>
        <w:fldChar w:fldCharType="separate"/>
      </w:r>
      <w:r>
        <w:rPr>
          <w:color w:val="auto"/>
        </w:rPr>
        <w:fldChar w:fldCharType="begin"/>
      </w:r>
      <w:r>
        <w:rPr>
          <w:color w:val="auto"/>
        </w:rPr>
        <w:instrText xml:space="preserve"> HYPERLINK \l "_Toc21536" </w:instrText>
      </w:r>
      <w:r>
        <w:rPr>
          <w:color w:val="auto"/>
        </w:rPr>
        <w:fldChar w:fldCharType="separate"/>
      </w:r>
      <w:r>
        <w:rPr>
          <w:rFonts w:hint="eastAsia" w:ascii="仿宋" w:hAnsi="仿宋" w:eastAsia="仿宋" w:cs="仿宋"/>
          <w:color w:val="auto"/>
          <w:sz w:val="28"/>
          <w:szCs w:val="28"/>
        </w:rPr>
        <w:t>第一章 招标公告</w:t>
      </w:r>
      <w:r>
        <w:rPr>
          <w:color w:val="auto"/>
          <w:sz w:val="28"/>
          <w:szCs w:val="28"/>
        </w:rPr>
        <w:tab/>
      </w:r>
      <w:r>
        <w:rPr>
          <w:color w:val="auto"/>
          <w:sz w:val="28"/>
          <w:szCs w:val="28"/>
        </w:rPr>
        <w:fldChar w:fldCharType="begin"/>
      </w:r>
      <w:r>
        <w:rPr>
          <w:color w:val="auto"/>
          <w:sz w:val="28"/>
          <w:szCs w:val="28"/>
        </w:rPr>
        <w:instrText xml:space="preserve"> PAGEREF _Toc21536 \h </w:instrText>
      </w:r>
      <w:r>
        <w:rPr>
          <w:color w:val="auto"/>
          <w:sz w:val="28"/>
          <w:szCs w:val="28"/>
        </w:rPr>
        <w:fldChar w:fldCharType="separate"/>
      </w:r>
      <w:r>
        <w:rPr>
          <w:color w:val="auto"/>
          <w:sz w:val="28"/>
          <w:szCs w:val="28"/>
        </w:rPr>
        <w:t>1</w:t>
      </w:r>
      <w:r>
        <w:rPr>
          <w:color w:val="auto"/>
          <w:sz w:val="28"/>
          <w:szCs w:val="28"/>
        </w:rPr>
        <w:fldChar w:fldCharType="end"/>
      </w:r>
      <w:r>
        <w:rPr>
          <w:color w:val="auto"/>
          <w:sz w:val="28"/>
          <w:szCs w:val="28"/>
        </w:rPr>
        <w:fldChar w:fldCharType="end"/>
      </w:r>
    </w:p>
    <w:p>
      <w:pPr>
        <w:pStyle w:val="14"/>
        <w:tabs>
          <w:tab w:val="right" w:leader="dot" w:pos="8306"/>
        </w:tabs>
        <w:spacing w:line="360" w:lineRule="auto"/>
        <w:rPr>
          <w:color w:val="auto"/>
          <w:sz w:val="28"/>
          <w:szCs w:val="28"/>
        </w:rPr>
      </w:pPr>
      <w:r>
        <w:rPr>
          <w:color w:val="auto"/>
        </w:rPr>
        <w:fldChar w:fldCharType="begin"/>
      </w:r>
      <w:r>
        <w:rPr>
          <w:color w:val="auto"/>
        </w:rPr>
        <w:instrText xml:space="preserve"> HYPERLINK \l "_Toc17166" </w:instrText>
      </w:r>
      <w:r>
        <w:rPr>
          <w:color w:val="auto"/>
        </w:rPr>
        <w:fldChar w:fldCharType="separate"/>
      </w:r>
      <w:r>
        <w:rPr>
          <w:rFonts w:hint="eastAsia" w:ascii="仿宋" w:hAnsi="仿宋" w:eastAsia="仿宋" w:cs="仿宋"/>
          <w:color w:val="auto"/>
          <w:sz w:val="28"/>
          <w:szCs w:val="28"/>
        </w:rPr>
        <w:t>第二章 投标人须知</w:t>
      </w:r>
      <w:r>
        <w:rPr>
          <w:color w:val="auto"/>
          <w:sz w:val="28"/>
          <w:szCs w:val="28"/>
        </w:rPr>
        <w:tab/>
      </w:r>
      <w:r>
        <w:rPr>
          <w:color w:val="auto"/>
          <w:sz w:val="28"/>
          <w:szCs w:val="28"/>
        </w:rPr>
        <w:fldChar w:fldCharType="begin"/>
      </w:r>
      <w:r>
        <w:rPr>
          <w:color w:val="auto"/>
          <w:sz w:val="28"/>
          <w:szCs w:val="28"/>
        </w:rPr>
        <w:instrText xml:space="preserve"> PAGEREF _Toc17166 \h </w:instrText>
      </w:r>
      <w:r>
        <w:rPr>
          <w:color w:val="auto"/>
          <w:sz w:val="28"/>
          <w:szCs w:val="28"/>
        </w:rPr>
        <w:fldChar w:fldCharType="separate"/>
      </w:r>
      <w:r>
        <w:rPr>
          <w:color w:val="auto"/>
          <w:sz w:val="28"/>
          <w:szCs w:val="28"/>
        </w:rPr>
        <w:t>5</w:t>
      </w:r>
      <w:r>
        <w:rPr>
          <w:color w:val="auto"/>
          <w:sz w:val="28"/>
          <w:szCs w:val="28"/>
        </w:rPr>
        <w:fldChar w:fldCharType="end"/>
      </w:r>
      <w:r>
        <w:rPr>
          <w:color w:val="auto"/>
          <w:sz w:val="28"/>
          <w:szCs w:val="28"/>
        </w:rPr>
        <w:fldChar w:fldCharType="end"/>
      </w:r>
    </w:p>
    <w:p>
      <w:pPr>
        <w:pStyle w:val="14"/>
        <w:tabs>
          <w:tab w:val="right" w:leader="dot" w:pos="8306"/>
        </w:tabs>
        <w:spacing w:line="360" w:lineRule="auto"/>
        <w:rPr>
          <w:color w:val="auto"/>
          <w:sz w:val="28"/>
          <w:szCs w:val="28"/>
        </w:rPr>
      </w:pPr>
      <w:r>
        <w:rPr>
          <w:color w:val="auto"/>
        </w:rPr>
        <w:fldChar w:fldCharType="begin"/>
      </w:r>
      <w:r>
        <w:rPr>
          <w:color w:val="auto"/>
        </w:rPr>
        <w:instrText xml:space="preserve"> HYPERLINK \l "_Toc30334" </w:instrText>
      </w:r>
      <w:r>
        <w:rPr>
          <w:color w:val="auto"/>
        </w:rPr>
        <w:fldChar w:fldCharType="separate"/>
      </w:r>
      <w:r>
        <w:rPr>
          <w:rFonts w:hint="eastAsia" w:ascii="仿宋_GB2312" w:hAnsi="仿宋_GB2312" w:eastAsia="仿宋_GB2312" w:cs="仿宋_GB2312"/>
          <w:color w:val="auto"/>
          <w:sz w:val="28"/>
          <w:szCs w:val="28"/>
        </w:rPr>
        <w:t>第三章 招标人需求</w:t>
      </w:r>
      <w:r>
        <w:rPr>
          <w:color w:val="auto"/>
          <w:sz w:val="28"/>
          <w:szCs w:val="28"/>
        </w:rPr>
        <w:tab/>
      </w:r>
      <w:r>
        <w:rPr>
          <w:color w:val="auto"/>
          <w:sz w:val="28"/>
          <w:szCs w:val="28"/>
        </w:rPr>
        <w:fldChar w:fldCharType="begin"/>
      </w:r>
      <w:r>
        <w:rPr>
          <w:color w:val="auto"/>
          <w:sz w:val="28"/>
          <w:szCs w:val="28"/>
        </w:rPr>
        <w:instrText xml:space="preserve"> PAGEREF _Toc30334 \h </w:instrText>
      </w:r>
      <w:r>
        <w:rPr>
          <w:color w:val="auto"/>
          <w:sz w:val="28"/>
          <w:szCs w:val="28"/>
        </w:rPr>
        <w:fldChar w:fldCharType="separate"/>
      </w:r>
      <w:r>
        <w:rPr>
          <w:color w:val="auto"/>
          <w:sz w:val="28"/>
          <w:szCs w:val="28"/>
        </w:rPr>
        <w:t>19</w:t>
      </w:r>
      <w:r>
        <w:rPr>
          <w:color w:val="auto"/>
          <w:sz w:val="28"/>
          <w:szCs w:val="28"/>
        </w:rPr>
        <w:fldChar w:fldCharType="end"/>
      </w:r>
      <w:r>
        <w:rPr>
          <w:color w:val="auto"/>
          <w:sz w:val="28"/>
          <w:szCs w:val="28"/>
        </w:rPr>
        <w:fldChar w:fldCharType="end"/>
      </w:r>
    </w:p>
    <w:p>
      <w:pPr>
        <w:pStyle w:val="14"/>
        <w:tabs>
          <w:tab w:val="right" w:leader="dot" w:pos="8306"/>
        </w:tabs>
        <w:spacing w:line="360" w:lineRule="auto"/>
        <w:rPr>
          <w:color w:val="auto"/>
          <w:sz w:val="28"/>
          <w:szCs w:val="28"/>
        </w:rPr>
      </w:pPr>
      <w:r>
        <w:rPr>
          <w:color w:val="auto"/>
        </w:rPr>
        <w:fldChar w:fldCharType="begin"/>
      </w:r>
      <w:r>
        <w:rPr>
          <w:color w:val="auto"/>
        </w:rPr>
        <w:instrText xml:space="preserve"> HYPERLINK \l "_Toc31475" </w:instrText>
      </w:r>
      <w:r>
        <w:rPr>
          <w:color w:val="auto"/>
        </w:rPr>
        <w:fldChar w:fldCharType="separate"/>
      </w:r>
      <w:r>
        <w:rPr>
          <w:rFonts w:hint="eastAsia" w:ascii="仿宋_GB2312" w:hAnsi="仿宋_GB2312" w:eastAsia="仿宋_GB2312" w:cs="仿宋_GB2312"/>
          <w:color w:val="auto"/>
          <w:sz w:val="28"/>
          <w:szCs w:val="28"/>
        </w:rPr>
        <w:t>第四章 评审方法（综合评分法）</w:t>
      </w:r>
      <w:r>
        <w:rPr>
          <w:color w:val="auto"/>
          <w:sz w:val="28"/>
          <w:szCs w:val="28"/>
        </w:rPr>
        <w:tab/>
      </w:r>
      <w:r>
        <w:rPr>
          <w:color w:val="auto"/>
          <w:sz w:val="28"/>
          <w:szCs w:val="28"/>
        </w:rPr>
        <w:fldChar w:fldCharType="begin"/>
      </w:r>
      <w:r>
        <w:rPr>
          <w:color w:val="auto"/>
          <w:sz w:val="28"/>
          <w:szCs w:val="28"/>
        </w:rPr>
        <w:instrText xml:space="preserve"> PAGEREF _Toc31475 \h </w:instrText>
      </w:r>
      <w:r>
        <w:rPr>
          <w:color w:val="auto"/>
          <w:sz w:val="28"/>
          <w:szCs w:val="28"/>
        </w:rPr>
        <w:fldChar w:fldCharType="separate"/>
      </w:r>
      <w:r>
        <w:rPr>
          <w:color w:val="auto"/>
          <w:sz w:val="28"/>
          <w:szCs w:val="28"/>
        </w:rPr>
        <w:t>21</w:t>
      </w:r>
      <w:r>
        <w:rPr>
          <w:color w:val="auto"/>
          <w:sz w:val="28"/>
          <w:szCs w:val="28"/>
        </w:rPr>
        <w:fldChar w:fldCharType="end"/>
      </w:r>
      <w:r>
        <w:rPr>
          <w:color w:val="auto"/>
          <w:sz w:val="28"/>
          <w:szCs w:val="28"/>
        </w:rPr>
        <w:fldChar w:fldCharType="end"/>
      </w:r>
    </w:p>
    <w:p>
      <w:pPr>
        <w:pStyle w:val="14"/>
        <w:tabs>
          <w:tab w:val="right" w:leader="dot" w:pos="8306"/>
        </w:tabs>
        <w:spacing w:line="360" w:lineRule="auto"/>
        <w:rPr>
          <w:color w:val="auto"/>
          <w:sz w:val="28"/>
          <w:szCs w:val="28"/>
        </w:rPr>
      </w:pPr>
      <w:r>
        <w:rPr>
          <w:color w:val="auto"/>
        </w:rPr>
        <w:fldChar w:fldCharType="begin"/>
      </w:r>
      <w:r>
        <w:rPr>
          <w:color w:val="auto"/>
        </w:rPr>
        <w:instrText xml:space="preserve"> HYPERLINK \l "_Toc18374" </w:instrText>
      </w:r>
      <w:r>
        <w:rPr>
          <w:color w:val="auto"/>
        </w:rPr>
        <w:fldChar w:fldCharType="separate"/>
      </w:r>
      <w:r>
        <w:rPr>
          <w:rFonts w:hint="eastAsia" w:ascii="仿宋_GB2312" w:hAnsi="仿宋_GB2312" w:eastAsia="仿宋_GB2312" w:cs="仿宋_GB2312"/>
          <w:color w:val="auto"/>
          <w:sz w:val="28"/>
          <w:szCs w:val="28"/>
        </w:rPr>
        <w:t>第五章 合同格式</w:t>
      </w:r>
      <w:r>
        <w:rPr>
          <w:color w:val="auto"/>
          <w:sz w:val="28"/>
          <w:szCs w:val="28"/>
        </w:rPr>
        <w:tab/>
      </w:r>
      <w:r>
        <w:rPr>
          <w:color w:val="auto"/>
          <w:sz w:val="28"/>
          <w:szCs w:val="28"/>
        </w:rPr>
        <w:fldChar w:fldCharType="begin"/>
      </w:r>
      <w:r>
        <w:rPr>
          <w:color w:val="auto"/>
          <w:sz w:val="28"/>
          <w:szCs w:val="28"/>
        </w:rPr>
        <w:instrText xml:space="preserve"> PAGEREF _Toc18374 \h </w:instrText>
      </w:r>
      <w:r>
        <w:rPr>
          <w:color w:val="auto"/>
          <w:sz w:val="28"/>
          <w:szCs w:val="28"/>
        </w:rPr>
        <w:fldChar w:fldCharType="separate"/>
      </w:r>
      <w:r>
        <w:rPr>
          <w:color w:val="auto"/>
          <w:sz w:val="28"/>
          <w:szCs w:val="28"/>
        </w:rPr>
        <w:t>30</w:t>
      </w:r>
      <w:r>
        <w:rPr>
          <w:color w:val="auto"/>
          <w:sz w:val="28"/>
          <w:szCs w:val="28"/>
        </w:rPr>
        <w:fldChar w:fldCharType="end"/>
      </w:r>
      <w:r>
        <w:rPr>
          <w:color w:val="auto"/>
          <w:sz w:val="28"/>
          <w:szCs w:val="28"/>
        </w:rPr>
        <w:fldChar w:fldCharType="end"/>
      </w:r>
    </w:p>
    <w:p>
      <w:pPr>
        <w:pStyle w:val="14"/>
        <w:tabs>
          <w:tab w:val="right" w:leader="dot" w:pos="8306"/>
        </w:tabs>
        <w:spacing w:line="360" w:lineRule="auto"/>
        <w:rPr>
          <w:color w:val="auto"/>
          <w:sz w:val="28"/>
          <w:szCs w:val="28"/>
        </w:rPr>
      </w:pPr>
      <w:r>
        <w:rPr>
          <w:color w:val="auto"/>
        </w:rPr>
        <w:fldChar w:fldCharType="begin"/>
      </w:r>
      <w:r>
        <w:rPr>
          <w:color w:val="auto"/>
        </w:rPr>
        <w:instrText xml:space="preserve"> HYPERLINK \l "_Toc23563" </w:instrText>
      </w:r>
      <w:r>
        <w:rPr>
          <w:color w:val="auto"/>
        </w:rPr>
        <w:fldChar w:fldCharType="separate"/>
      </w:r>
      <w:r>
        <w:rPr>
          <w:rFonts w:hint="eastAsia" w:ascii="仿宋_GB2312" w:hAnsi="仿宋_GB2312" w:eastAsia="仿宋_GB2312" w:cs="仿宋_GB2312"/>
          <w:color w:val="auto"/>
          <w:sz w:val="28"/>
          <w:szCs w:val="28"/>
        </w:rPr>
        <w:t>第六章 投标文件内容及格式</w:t>
      </w:r>
      <w:r>
        <w:rPr>
          <w:color w:val="auto"/>
          <w:sz w:val="28"/>
          <w:szCs w:val="28"/>
        </w:rPr>
        <w:tab/>
      </w:r>
      <w:r>
        <w:rPr>
          <w:color w:val="auto"/>
          <w:sz w:val="28"/>
          <w:szCs w:val="28"/>
        </w:rPr>
        <w:fldChar w:fldCharType="begin"/>
      </w:r>
      <w:r>
        <w:rPr>
          <w:color w:val="auto"/>
          <w:sz w:val="28"/>
          <w:szCs w:val="28"/>
        </w:rPr>
        <w:instrText xml:space="preserve"> PAGEREF _Toc23563 \h </w:instrText>
      </w:r>
      <w:r>
        <w:rPr>
          <w:color w:val="auto"/>
          <w:sz w:val="28"/>
          <w:szCs w:val="28"/>
        </w:rPr>
        <w:fldChar w:fldCharType="separate"/>
      </w:r>
      <w:r>
        <w:rPr>
          <w:color w:val="auto"/>
          <w:sz w:val="28"/>
          <w:szCs w:val="28"/>
        </w:rPr>
        <w:t>40</w:t>
      </w:r>
      <w:r>
        <w:rPr>
          <w:color w:val="auto"/>
          <w:sz w:val="28"/>
          <w:szCs w:val="28"/>
        </w:rPr>
        <w:fldChar w:fldCharType="end"/>
      </w:r>
      <w:r>
        <w:rPr>
          <w:color w:val="auto"/>
          <w:sz w:val="28"/>
          <w:szCs w:val="28"/>
        </w:rPr>
        <w:fldChar w:fldCharType="end"/>
      </w:r>
    </w:p>
    <w:p>
      <w:pPr>
        <w:spacing w:line="360" w:lineRule="auto"/>
        <w:rPr>
          <w:color w:val="auto"/>
        </w:rPr>
      </w:pPr>
      <w:r>
        <w:rPr>
          <w:bCs/>
          <w:color w:val="auto"/>
          <w:sz w:val="28"/>
          <w:szCs w:val="28"/>
        </w:rPr>
        <w:fldChar w:fldCharType="end"/>
      </w:r>
    </w:p>
    <w:p>
      <w:pPr>
        <w:pStyle w:val="2"/>
        <w:adjustRightInd w:val="0"/>
        <w:snapToGrid w:val="0"/>
        <w:spacing w:before="0" w:after="0" w:line="360" w:lineRule="auto"/>
        <w:jc w:val="center"/>
        <w:rPr>
          <w:rFonts w:ascii="仿宋_GB2312" w:hAnsi="仿宋_GB2312" w:eastAsia="仿宋_GB2312" w:cs="仿宋_GB2312"/>
          <w:color w:val="auto"/>
        </w:rPr>
        <w:sectPr>
          <w:pgSz w:w="11906" w:h="16838"/>
          <w:pgMar w:top="1440" w:right="1800" w:bottom="1440" w:left="1800" w:header="851" w:footer="992" w:gutter="0"/>
          <w:cols w:space="720" w:num="1"/>
          <w:docGrid w:type="lines" w:linePitch="312" w:charSpace="0"/>
        </w:sectPr>
      </w:pPr>
      <w:bookmarkStart w:id="0" w:name="_Toc17034"/>
      <w:bookmarkStart w:id="1" w:name="_Toc30996_WPSOffice_Level1"/>
    </w:p>
    <w:p>
      <w:pPr>
        <w:pStyle w:val="2"/>
        <w:adjustRightInd w:val="0"/>
        <w:snapToGrid w:val="0"/>
        <w:spacing w:before="0" w:after="0" w:line="360" w:lineRule="auto"/>
        <w:ind w:firstLine="602" w:firstLineChars="200"/>
        <w:jc w:val="center"/>
        <w:rPr>
          <w:rFonts w:ascii="仿宋" w:hAnsi="仿宋" w:eastAsia="仿宋" w:cs="仿宋"/>
          <w:color w:val="auto"/>
          <w:sz w:val="30"/>
          <w:szCs w:val="30"/>
        </w:rPr>
      </w:pPr>
      <w:bookmarkStart w:id="2" w:name="_Toc21536"/>
      <w:r>
        <w:rPr>
          <w:rFonts w:hint="eastAsia" w:ascii="仿宋" w:hAnsi="仿宋" w:eastAsia="仿宋" w:cs="仿宋"/>
          <w:color w:val="auto"/>
          <w:sz w:val="30"/>
          <w:szCs w:val="30"/>
        </w:rPr>
        <w:t xml:space="preserve">第一章 </w:t>
      </w:r>
      <w:bookmarkEnd w:id="0"/>
      <w:bookmarkEnd w:id="1"/>
      <w:r>
        <w:rPr>
          <w:rFonts w:hint="eastAsia" w:ascii="仿宋" w:hAnsi="仿宋" w:eastAsia="仿宋" w:cs="仿宋"/>
          <w:color w:val="auto"/>
          <w:sz w:val="30"/>
          <w:szCs w:val="30"/>
        </w:rPr>
        <w:t>招标公告</w:t>
      </w:r>
      <w:bookmarkEnd w:id="2"/>
    </w:p>
    <w:p>
      <w:pPr>
        <w:adjustRightInd w:val="0"/>
        <w:snapToGrid w:val="0"/>
        <w:spacing w:line="360" w:lineRule="auto"/>
        <w:ind w:firstLine="420" w:firstLineChars="200"/>
        <w:jc w:val="center"/>
        <w:rPr>
          <w:rFonts w:ascii="仿宋" w:hAnsi="仿宋" w:eastAsia="仿宋" w:cs="仿宋"/>
          <w:color w:val="auto"/>
          <w:szCs w:val="21"/>
        </w:rPr>
      </w:pPr>
    </w:p>
    <w:p>
      <w:pPr>
        <w:adjustRightInd w:val="0"/>
        <w:snapToGrid w:val="0"/>
        <w:spacing w:line="360" w:lineRule="auto"/>
        <w:ind w:firstLine="422" w:firstLineChars="200"/>
        <w:rPr>
          <w:rFonts w:ascii="仿宋" w:hAnsi="仿宋" w:eastAsia="仿宋" w:cs="仿宋"/>
          <w:b/>
          <w:bCs/>
          <w:color w:val="auto"/>
          <w:szCs w:val="21"/>
        </w:rPr>
      </w:pPr>
    </w:p>
    <w:p>
      <w:pPr>
        <w:numPr>
          <w:ilvl w:val="0"/>
          <w:numId w:val="1"/>
        </w:numPr>
        <w:adjustRightInd w:val="0"/>
        <w:snapToGrid w:val="0"/>
        <w:spacing w:line="360" w:lineRule="auto"/>
        <w:ind w:firstLine="422" w:firstLineChars="200"/>
        <w:rPr>
          <w:rFonts w:ascii="仿宋" w:hAnsi="仿宋" w:eastAsia="仿宋" w:cs="仿宋"/>
          <w:b/>
          <w:bCs/>
          <w:color w:val="auto"/>
          <w:szCs w:val="21"/>
        </w:rPr>
      </w:pPr>
      <w:r>
        <w:rPr>
          <w:rFonts w:hint="eastAsia" w:ascii="仿宋" w:hAnsi="仿宋" w:eastAsia="仿宋" w:cs="仿宋"/>
          <w:b/>
          <w:bCs/>
          <w:color w:val="auto"/>
          <w:szCs w:val="21"/>
        </w:rPr>
        <w:t>招标条件和招标方式</w:t>
      </w:r>
    </w:p>
    <w:p>
      <w:pPr>
        <w:numPr>
          <w:ilvl w:val="1"/>
          <w:numId w:val="1"/>
        </w:num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招标条件</w:t>
      </w:r>
    </w:p>
    <w:p>
      <w:pPr>
        <w:pStyle w:val="18"/>
        <w:spacing w:line="360" w:lineRule="auto"/>
        <w:ind w:firstLineChars="200"/>
        <w:rPr>
          <w:rFonts w:ascii="仿宋" w:hAnsi="仿宋" w:eastAsia="仿宋" w:cs="仿宋"/>
          <w:color w:val="auto"/>
          <w:szCs w:val="21"/>
          <w:u w:val="single"/>
        </w:rPr>
      </w:pPr>
      <w:r>
        <w:rPr>
          <w:rFonts w:hint="eastAsia" w:ascii="仿宋" w:hAnsi="仿宋" w:eastAsia="仿宋" w:cs="仿宋"/>
          <w:color w:val="auto"/>
          <w:szCs w:val="21"/>
          <w:u w:val="single"/>
          <w:lang w:eastAsia="zh-CN"/>
        </w:rPr>
        <w:t>肇庆市港口投资发展有限公司人力资源管理咨询服务项目</w:t>
      </w:r>
      <w:r>
        <w:rPr>
          <w:rFonts w:hint="eastAsia" w:ascii="仿宋" w:hAnsi="仿宋" w:eastAsia="仿宋" w:cs="仿宋"/>
          <w:color w:val="auto"/>
          <w:szCs w:val="21"/>
        </w:rPr>
        <w:t>已具备招标条件，经</w:t>
      </w:r>
      <w:r>
        <w:rPr>
          <w:rFonts w:hint="eastAsia" w:ascii="仿宋" w:hAnsi="仿宋" w:eastAsia="仿宋" w:cs="仿宋"/>
          <w:color w:val="auto"/>
          <w:szCs w:val="21"/>
          <w:u w:val="single"/>
          <w:lang w:eastAsia="zh-CN"/>
        </w:rPr>
        <w:t>肇庆市港口投资发展有限公司</w:t>
      </w:r>
      <w:r>
        <w:rPr>
          <w:rFonts w:hint="eastAsia" w:ascii="仿宋" w:hAnsi="仿宋" w:eastAsia="仿宋" w:cs="仿宋"/>
          <w:color w:val="auto"/>
          <w:szCs w:val="21"/>
        </w:rPr>
        <w:t>批准，现对该项目采用资格后审方式实施招标活动，现邀请合格的潜在投标人参加本项目投标。</w:t>
      </w:r>
    </w:p>
    <w:p>
      <w:pPr>
        <w:adjustRightInd w:val="0"/>
        <w:snapToGrid w:val="0"/>
        <w:spacing w:line="360" w:lineRule="auto"/>
        <w:ind w:firstLine="420" w:firstLineChars="200"/>
        <w:rPr>
          <w:rFonts w:hint="default" w:ascii="仿宋" w:hAnsi="仿宋" w:eastAsia="仿宋" w:cs="仿宋"/>
          <w:color w:val="auto"/>
          <w:szCs w:val="21"/>
          <w:lang w:val="en-US" w:eastAsia="zh-CN"/>
        </w:rPr>
      </w:pPr>
      <w:r>
        <w:rPr>
          <w:rFonts w:hint="eastAsia" w:ascii="仿宋" w:hAnsi="仿宋" w:eastAsia="仿宋" w:cs="仿宋"/>
          <w:color w:val="auto"/>
          <w:szCs w:val="21"/>
        </w:rPr>
        <w:t>1.2 项目编号：ZQJTJT（202</w:t>
      </w:r>
      <w:r>
        <w:rPr>
          <w:rFonts w:hint="eastAsia" w:ascii="仿宋" w:hAnsi="仿宋" w:eastAsia="仿宋" w:cs="仿宋"/>
          <w:color w:val="auto"/>
          <w:szCs w:val="21"/>
          <w:lang w:val="en-US" w:eastAsia="zh-CN"/>
        </w:rPr>
        <w:t>3</w:t>
      </w:r>
      <w:r>
        <w:rPr>
          <w:rFonts w:hint="eastAsia" w:ascii="仿宋" w:hAnsi="仿宋" w:eastAsia="仿宋" w:cs="仿宋"/>
          <w:color w:val="auto"/>
          <w:szCs w:val="21"/>
        </w:rPr>
        <w:t>）-</w:t>
      </w:r>
      <w:r>
        <w:rPr>
          <w:rFonts w:hint="eastAsia" w:ascii="仿宋" w:hAnsi="仿宋" w:eastAsia="仿宋" w:cs="仿宋"/>
          <w:color w:val="auto"/>
          <w:szCs w:val="21"/>
          <w:lang w:val="en-US" w:eastAsia="zh-CN"/>
        </w:rPr>
        <w:t>122</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1.3 招标方式：自主招标</w:t>
      </w:r>
    </w:p>
    <w:p>
      <w:pPr>
        <w:pStyle w:val="24"/>
        <w:rPr>
          <w:color w:val="auto"/>
        </w:rPr>
      </w:pPr>
      <w:r>
        <w:rPr>
          <w:rFonts w:hint="eastAsia" w:ascii="仿宋" w:hAnsi="仿宋" w:eastAsia="仿宋" w:cs="仿宋"/>
          <w:color w:val="auto"/>
          <w:sz w:val="21"/>
          <w:szCs w:val="21"/>
        </w:rPr>
        <w:t>1.4 招标项目类型：</w:t>
      </w:r>
      <w:r>
        <w:rPr>
          <w:rFonts w:hint="eastAsia" w:ascii="仿宋" w:hAnsi="仿宋" w:eastAsia="仿宋" w:cs="仿宋"/>
          <w:color w:val="auto"/>
          <w:kern w:val="2"/>
          <w:sz w:val="21"/>
          <w:szCs w:val="21"/>
        </w:rPr>
        <w:t>服务</w:t>
      </w:r>
    </w:p>
    <w:p>
      <w:pPr>
        <w:numPr>
          <w:ilvl w:val="0"/>
          <w:numId w:val="1"/>
        </w:numPr>
        <w:adjustRightInd w:val="0"/>
        <w:snapToGrid w:val="0"/>
        <w:spacing w:line="360" w:lineRule="auto"/>
        <w:ind w:firstLine="422" w:firstLineChars="200"/>
        <w:rPr>
          <w:rFonts w:ascii="仿宋" w:hAnsi="仿宋" w:eastAsia="仿宋" w:cs="仿宋"/>
          <w:b/>
          <w:bCs/>
          <w:color w:val="auto"/>
          <w:szCs w:val="21"/>
        </w:rPr>
      </w:pPr>
      <w:r>
        <w:rPr>
          <w:rFonts w:hint="eastAsia" w:ascii="仿宋" w:hAnsi="仿宋" w:eastAsia="仿宋" w:cs="仿宋"/>
          <w:b/>
          <w:bCs/>
          <w:color w:val="auto"/>
          <w:szCs w:val="21"/>
        </w:rPr>
        <w:t>招标内容和范围</w:t>
      </w:r>
    </w:p>
    <w:p>
      <w:pPr>
        <w:numPr>
          <w:ilvl w:val="1"/>
          <w:numId w:val="1"/>
        </w:numPr>
        <w:adjustRightInd w:val="0"/>
        <w:snapToGrid w:val="0"/>
        <w:spacing w:line="360" w:lineRule="auto"/>
        <w:ind w:firstLine="420" w:firstLineChars="200"/>
        <w:rPr>
          <w:rFonts w:ascii="仿宋" w:hAnsi="仿宋" w:eastAsia="仿宋" w:cs="仿宋"/>
          <w:color w:val="auto"/>
          <w:szCs w:val="21"/>
          <w:u w:val="single"/>
        </w:rPr>
      </w:pPr>
      <w:r>
        <w:rPr>
          <w:rFonts w:hint="eastAsia" w:ascii="仿宋" w:hAnsi="仿宋" w:eastAsia="仿宋" w:cs="仿宋"/>
          <w:color w:val="auto"/>
          <w:szCs w:val="21"/>
        </w:rPr>
        <w:t>本项目招标内容和范围：</w:t>
      </w:r>
      <w:r>
        <w:rPr>
          <w:rFonts w:hint="eastAsia" w:ascii="仿宋" w:hAnsi="仿宋" w:eastAsia="仿宋" w:cs="仿宋"/>
          <w:color w:val="auto"/>
          <w:szCs w:val="21"/>
          <w:u w:val="single"/>
          <w:lang w:eastAsia="zh-CN"/>
        </w:rPr>
        <w:t>人力资源管理咨询服务，</w:t>
      </w:r>
      <w:r>
        <w:rPr>
          <w:rFonts w:hint="eastAsia" w:ascii="仿宋" w:hAnsi="仿宋" w:eastAsia="仿宋" w:cs="仿宋"/>
          <w:color w:val="auto"/>
          <w:szCs w:val="21"/>
          <w:u w:val="single"/>
          <w:lang w:val="en-US" w:eastAsia="zh-CN"/>
        </w:rPr>
        <w:t>成果资料包括但不限于《人力资源管理调研诊断报告及初步解决思路》、《工资总额管理办法》、《组织架构优化方案》、《公司部门职责说明书汇编》、《公司岗位说明书汇编》、《港口公司及项目公司薪酬优化方案》、《薪酬管理办法》、《薪酬测算报告》、《港口公司及项目公司绩效管理方案》、《组织绩效管理办法》(含《组织绩效指标库》)、《组织绩效考核表汇总》、《岗位绩效管理办法》</w:t>
      </w:r>
      <w:r>
        <w:rPr>
          <w:rFonts w:hint="eastAsia" w:ascii="仿宋" w:hAnsi="仿宋" w:eastAsia="仿宋" w:cs="仿宋"/>
          <w:color w:val="auto"/>
          <w:szCs w:val="21"/>
          <w:u w:val="single"/>
        </w:rPr>
        <w:t>。</w:t>
      </w:r>
    </w:p>
    <w:p>
      <w:pPr>
        <w:numPr>
          <w:ilvl w:val="1"/>
          <w:numId w:val="1"/>
        </w:num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本项目服务期为：</w:t>
      </w:r>
      <w:r>
        <w:rPr>
          <w:rFonts w:hint="eastAsia" w:ascii="仿宋" w:hAnsi="仿宋" w:eastAsia="仿宋" w:cs="仿宋"/>
          <w:color w:val="auto"/>
          <w:szCs w:val="21"/>
          <w:u w:val="single"/>
          <w:lang w:val="zh-CN" w:eastAsia="zh-CN"/>
        </w:rPr>
        <w:t>本项目实施期限为3个月</w:t>
      </w:r>
      <w:r>
        <w:rPr>
          <w:rFonts w:hint="eastAsia" w:ascii="仿宋" w:hAnsi="仿宋" w:eastAsia="仿宋" w:cs="仿宋"/>
          <w:color w:val="auto"/>
          <w:szCs w:val="21"/>
          <w:u w:val="single"/>
        </w:rPr>
        <w:t>。</w:t>
      </w:r>
    </w:p>
    <w:p>
      <w:pPr>
        <w:numPr>
          <w:ilvl w:val="1"/>
          <w:numId w:val="1"/>
        </w:num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本项目服务地点位于</w:t>
      </w:r>
      <w:r>
        <w:rPr>
          <w:rFonts w:hint="eastAsia" w:ascii="仿宋" w:hAnsi="仿宋" w:eastAsia="仿宋" w:cs="仿宋"/>
          <w:color w:val="auto"/>
          <w:szCs w:val="21"/>
          <w:u w:val="single"/>
          <w:lang w:eastAsia="zh-CN"/>
        </w:rPr>
        <w:t>肇庆市港口投资发展有限公司</w:t>
      </w:r>
      <w:r>
        <w:rPr>
          <w:rFonts w:hint="eastAsia" w:ascii="仿宋" w:hAnsi="仿宋" w:eastAsia="仿宋" w:cs="仿宋"/>
          <w:color w:val="auto"/>
          <w:szCs w:val="21"/>
          <w:u w:val="single"/>
          <w:lang w:val="en-US" w:eastAsia="zh-CN"/>
        </w:rPr>
        <w:t>指定地点</w:t>
      </w:r>
      <w:r>
        <w:rPr>
          <w:rFonts w:hint="eastAsia" w:ascii="仿宋" w:hAnsi="仿宋" w:eastAsia="仿宋" w:cs="仿宋"/>
          <w:color w:val="auto"/>
          <w:szCs w:val="21"/>
          <w:u w:val="single"/>
          <w:lang w:eastAsia="zh-CN"/>
        </w:rPr>
        <w:t>。</w:t>
      </w:r>
    </w:p>
    <w:p>
      <w:pPr>
        <w:pStyle w:val="18"/>
        <w:numPr>
          <w:ilvl w:val="1"/>
          <w:numId w:val="1"/>
        </w:num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服务质量要求和服务标准如下：</w:t>
      </w:r>
      <w:r>
        <w:rPr>
          <w:rFonts w:hint="eastAsia" w:ascii="仿宋" w:hAnsi="仿宋" w:eastAsia="仿宋" w:cs="仿宋"/>
          <w:color w:val="auto"/>
          <w:szCs w:val="21"/>
          <w:u w:val="single"/>
        </w:rPr>
        <w:t>执行国家、省或行业现行的验收标准及规范，符合招标人需求</w:t>
      </w:r>
      <w:r>
        <w:rPr>
          <w:rFonts w:hint="eastAsia" w:ascii="仿宋" w:hAnsi="仿宋" w:eastAsia="仿宋" w:cs="仿宋"/>
          <w:color w:val="auto"/>
          <w:szCs w:val="21"/>
          <w:u w:val="single"/>
          <w:lang w:eastAsia="zh-CN"/>
        </w:rPr>
        <w:t>，</w:t>
      </w:r>
      <w:r>
        <w:rPr>
          <w:rFonts w:hint="eastAsia" w:ascii="仿宋" w:hAnsi="仿宋" w:eastAsia="仿宋" w:cs="仿宋"/>
          <w:color w:val="auto"/>
          <w:szCs w:val="21"/>
          <w:u w:val="single"/>
          <w:lang w:val="en-US" w:eastAsia="zh-CN"/>
        </w:rPr>
        <w:t>并最终通过招标人验收</w:t>
      </w:r>
      <w:r>
        <w:rPr>
          <w:rFonts w:hint="eastAsia" w:ascii="仿宋" w:hAnsi="仿宋" w:eastAsia="仿宋" w:cs="仿宋"/>
          <w:color w:val="auto"/>
          <w:szCs w:val="21"/>
          <w:u w:val="single"/>
        </w:rPr>
        <w:t>。</w:t>
      </w:r>
    </w:p>
    <w:p>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2.5 其他：</w:t>
      </w:r>
      <w:r>
        <w:rPr>
          <w:rFonts w:hint="eastAsia" w:ascii="仿宋" w:hAnsi="仿宋" w:eastAsia="仿宋" w:cs="仿宋"/>
          <w:color w:val="auto"/>
          <w:szCs w:val="21"/>
          <w:u w:val="single"/>
        </w:rPr>
        <w:t>/</w:t>
      </w:r>
      <w:r>
        <w:rPr>
          <w:rFonts w:hint="eastAsia" w:ascii="仿宋" w:hAnsi="仿宋" w:eastAsia="仿宋" w:cs="仿宋"/>
          <w:color w:val="auto"/>
          <w:szCs w:val="21"/>
        </w:rPr>
        <w:t>。</w:t>
      </w:r>
    </w:p>
    <w:p>
      <w:pPr>
        <w:numPr>
          <w:ilvl w:val="0"/>
          <w:numId w:val="1"/>
        </w:numPr>
        <w:adjustRightInd w:val="0"/>
        <w:snapToGrid w:val="0"/>
        <w:spacing w:line="360" w:lineRule="auto"/>
        <w:ind w:firstLine="422" w:firstLineChars="200"/>
        <w:rPr>
          <w:rFonts w:ascii="仿宋" w:hAnsi="仿宋" w:eastAsia="仿宋" w:cs="仿宋"/>
          <w:b/>
          <w:bCs/>
          <w:color w:val="auto"/>
          <w:szCs w:val="21"/>
        </w:rPr>
      </w:pPr>
      <w:r>
        <w:rPr>
          <w:rFonts w:hint="eastAsia" w:ascii="仿宋" w:hAnsi="仿宋" w:eastAsia="仿宋" w:cs="仿宋"/>
          <w:b/>
          <w:bCs/>
          <w:color w:val="auto"/>
          <w:szCs w:val="21"/>
        </w:rPr>
        <w:t xml:space="preserve"> 标段划分</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3.1 标段划分及最高限价：本项目共1个标段，具体如下</w:t>
      </w:r>
    </w:p>
    <w:tbl>
      <w:tblPr>
        <w:tblStyle w:val="19"/>
        <w:tblW w:w="8033"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163"/>
        <w:gridCol w:w="4560"/>
        <w:gridCol w:w="23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2" w:hRule="atLeast"/>
          <w:tblCellSpacing w:w="0" w:type="dxa"/>
          <w:jc w:val="center"/>
        </w:trPr>
        <w:tc>
          <w:tcPr>
            <w:tcW w:w="1163" w:type="dxa"/>
            <w:shd w:val="clear" w:color="auto" w:fill="FFFFFF"/>
            <w:noWrap/>
            <w:vAlign w:val="center"/>
          </w:tcPr>
          <w:p>
            <w:pPr>
              <w:spacing w:line="360" w:lineRule="auto"/>
              <w:jc w:val="center"/>
              <w:rPr>
                <w:rFonts w:ascii="仿宋" w:hAnsi="仿宋" w:eastAsia="仿宋" w:cs="仿宋"/>
                <w:color w:val="auto"/>
                <w:kern w:val="0"/>
                <w:szCs w:val="21"/>
                <w:shd w:val="clear" w:color="auto" w:fill="FFFFFF"/>
              </w:rPr>
            </w:pPr>
            <w:r>
              <w:rPr>
                <w:rFonts w:hint="eastAsia" w:ascii="仿宋" w:hAnsi="仿宋" w:eastAsia="仿宋" w:cs="仿宋"/>
                <w:color w:val="auto"/>
                <w:kern w:val="0"/>
                <w:szCs w:val="21"/>
                <w:shd w:val="clear" w:color="auto" w:fill="FFFFFF"/>
              </w:rPr>
              <w:t>标段号</w:t>
            </w:r>
          </w:p>
        </w:tc>
        <w:tc>
          <w:tcPr>
            <w:tcW w:w="4560" w:type="dxa"/>
            <w:shd w:val="clear" w:color="auto" w:fill="FFFFFF"/>
            <w:noWrap/>
            <w:vAlign w:val="center"/>
          </w:tcPr>
          <w:p>
            <w:pPr>
              <w:spacing w:line="360" w:lineRule="auto"/>
              <w:jc w:val="center"/>
              <w:rPr>
                <w:rFonts w:ascii="仿宋" w:hAnsi="仿宋" w:eastAsia="仿宋" w:cs="仿宋"/>
                <w:color w:val="auto"/>
                <w:kern w:val="0"/>
                <w:szCs w:val="21"/>
                <w:shd w:val="clear" w:color="auto" w:fill="FFFFFF"/>
              </w:rPr>
            </w:pPr>
            <w:r>
              <w:rPr>
                <w:rFonts w:hint="eastAsia" w:ascii="仿宋" w:hAnsi="仿宋" w:eastAsia="仿宋" w:cs="仿宋"/>
                <w:color w:val="auto"/>
                <w:kern w:val="0"/>
                <w:szCs w:val="21"/>
                <w:shd w:val="clear" w:color="auto" w:fill="FFFFFF"/>
              </w:rPr>
              <w:t>标段名称</w:t>
            </w:r>
          </w:p>
        </w:tc>
        <w:tc>
          <w:tcPr>
            <w:tcW w:w="2310" w:type="dxa"/>
            <w:shd w:val="clear" w:color="auto" w:fill="FFFFFF"/>
            <w:noWrap/>
            <w:vAlign w:val="center"/>
          </w:tcPr>
          <w:p>
            <w:pPr>
              <w:spacing w:line="360" w:lineRule="auto"/>
              <w:jc w:val="center"/>
              <w:rPr>
                <w:rFonts w:ascii="仿宋" w:hAnsi="仿宋" w:eastAsia="仿宋" w:cs="仿宋"/>
                <w:color w:val="auto"/>
                <w:kern w:val="0"/>
                <w:szCs w:val="21"/>
                <w:shd w:val="clear" w:color="auto" w:fill="FFFFFF"/>
              </w:rPr>
            </w:pPr>
            <w:r>
              <w:rPr>
                <w:rFonts w:hint="eastAsia" w:ascii="仿宋" w:hAnsi="仿宋" w:eastAsia="仿宋" w:cs="仿宋"/>
                <w:color w:val="auto"/>
                <w:kern w:val="0"/>
                <w:szCs w:val="21"/>
                <w:shd w:val="clear" w:color="auto" w:fill="FFFFFF"/>
              </w:rPr>
              <w:t>标段最高限价</w:t>
            </w:r>
          </w:p>
          <w:p>
            <w:pPr>
              <w:spacing w:line="360" w:lineRule="auto"/>
              <w:jc w:val="center"/>
              <w:rPr>
                <w:rFonts w:ascii="仿宋" w:hAnsi="仿宋" w:eastAsia="仿宋" w:cs="仿宋"/>
                <w:color w:val="auto"/>
                <w:kern w:val="0"/>
                <w:szCs w:val="21"/>
                <w:shd w:val="clear" w:color="auto" w:fill="FFFFFF"/>
              </w:rPr>
            </w:pPr>
            <w:r>
              <w:rPr>
                <w:rFonts w:hint="eastAsia" w:ascii="仿宋" w:hAnsi="仿宋" w:eastAsia="仿宋" w:cs="仿宋"/>
                <w:color w:val="auto"/>
                <w:kern w:val="0"/>
                <w:szCs w:val="21"/>
                <w:shd w:val="clear" w:color="auto" w:fill="FFFFFF"/>
              </w:rPr>
              <w:t>（人民币元）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05" w:hRule="atLeast"/>
          <w:tblCellSpacing w:w="0" w:type="dxa"/>
          <w:jc w:val="center"/>
        </w:trPr>
        <w:tc>
          <w:tcPr>
            <w:tcW w:w="1163" w:type="dxa"/>
            <w:shd w:val="clear" w:color="auto" w:fill="FFFFFF"/>
            <w:noWrap/>
            <w:vAlign w:val="center"/>
          </w:tcPr>
          <w:p>
            <w:pPr>
              <w:spacing w:line="360" w:lineRule="auto"/>
              <w:jc w:val="center"/>
              <w:rPr>
                <w:rFonts w:ascii="仿宋" w:hAnsi="仿宋" w:eastAsia="仿宋" w:cs="仿宋"/>
                <w:color w:val="auto"/>
                <w:kern w:val="0"/>
                <w:szCs w:val="21"/>
                <w:shd w:val="clear" w:color="auto" w:fill="FFFFFF"/>
              </w:rPr>
            </w:pPr>
            <w:r>
              <w:rPr>
                <w:rFonts w:hint="eastAsia" w:ascii="仿宋" w:hAnsi="仿宋" w:eastAsia="仿宋" w:cs="仿宋"/>
                <w:color w:val="auto"/>
                <w:kern w:val="0"/>
                <w:szCs w:val="21"/>
                <w:shd w:val="clear" w:color="auto" w:fill="FFFFFF"/>
              </w:rPr>
              <w:t>1</w:t>
            </w:r>
          </w:p>
        </w:tc>
        <w:tc>
          <w:tcPr>
            <w:tcW w:w="4560" w:type="dxa"/>
            <w:shd w:val="clear" w:color="auto" w:fill="FFFFFF"/>
            <w:noWrap/>
            <w:vAlign w:val="center"/>
          </w:tcPr>
          <w:p>
            <w:pPr>
              <w:spacing w:line="360" w:lineRule="auto"/>
              <w:rPr>
                <w:rFonts w:hint="eastAsia" w:ascii="仿宋" w:hAnsi="仿宋" w:eastAsia="仿宋" w:cs="仿宋"/>
                <w:color w:val="auto"/>
                <w:kern w:val="0"/>
                <w:szCs w:val="21"/>
                <w:shd w:val="clear" w:color="auto" w:fill="FFFFFF"/>
                <w:lang w:eastAsia="zh-CN"/>
              </w:rPr>
            </w:pPr>
            <w:r>
              <w:rPr>
                <w:rFonts w:hint="eastAsia" w:ascii="仿宋" w:hAnsi="仿宋" w:eastAsia="仿宋" w:cs="仿宋"/>
                <w:color w:val="auto"/>
                <w:kern w:val="0"/>
                <w:szCs w:val="21"/>
                <w:shd w:val="clear" w:color="auto" w:fill="FFFFFF"/>
                <w:lang w:eastAsia="zh-CN"/>
              </w:rPr>
              <w:t>肇庆市港口投资发展有限公司人力资源管理咨询服务项目</w:t>
            </w:r>
          </w:p>
        </w:tc>
        <w:tc>
          <w:tcPr>
            <w:tcW w:w="2310" w:type="dxa"/>
            <w:shd w:val="clear" w:color="auto" w:fill="FFFFFF"/>
            <w:noWrap/>
            <w:vAlign w:val="center"/>
          </w:tcPr>
          <w:p>
            <w:pPr>
              <w:spacing w:line="360" w:lineRule="auto"/>
              <w:jc w:val="center"/>
              <w:rPr>
                <w:rFonts w:hint="eastAsia" w:ascii="仿宋" w:hAnsi="仿宋" w:eastAsia="仿宋" w:cs="仿宋"/>
                <w:color w:val="auto"/>
                <w:kern w:val="0"/>
                <w:szCs w:val="21"/>
                <w:shd w:val="clear" w:color="auto" w:fill="FFFFFF"/>
                <w:lang w:eastAsia="zh-CN"/>
              </w:rPr>
            </w:pPr>
            <w:r>
              <w:rPr>
                <w:rFonts w:hint="eastAsia" w:ascii="仿宋" w:hAnsi="仿宋" w:eastAsia="仿宋" w:cs="仿宋"/>
                <w:color w:val="auto"/>
                <w:kern w:val="0"/>
                <w:szCs w:val="21"/>
                <w:highlight w:val="none"/>
                <w:shd w:val="clear" w:color="auto" w:fill="FFFFFF"/>
                <w:lang w:eastAsia="zh-CN"/>
              </w:rPr>
              <w:t>520000</w:t>
            </w:r>
          </w:p>
        </w:tc>
      </w:tr>
    </w:tbl>
    <w:p>
      <w:pPr>
        <w:rPr>
          <w:color w:val="auto"/>
        </w:rPr>
      </w:pPr>
      <w:r>
        <w:rPr>
          <w:rFonts w:hint="eastAsia" w:ascii="仿宋" w:hAnsi="仿宋" w:eastAsia="仿宋" w:cs="仿宋"/>
          <w:color w:val="auto"/>
          <w:kern w:val="0"/>
          <w:szCs w:val="21"/>
          <w:shd w:val="clear" w:color="auto" w:fill="FFFFFF"/>
        </w:rPr>
        <w:t>（注：本项目共1个标段，投标人需对本项目整体进行投标报价响应。）</w:t>
      </w:r>
    </w:p>
    <w:p>
      <w:pPr>
        <w:numPr>
          <w:ilvl w:val="0"/>
          <w:numId w:val="1"/>
        </w:numPr>
        <w:adjustRightInd w:val="0"/>
        <w:snapToGrid w:val="0"/>
        <w:spacing w:line="360" w:lineRule="auto"/>
        <w:ind w:firstLine="422" w:firstLineChars="200"/>
        <w:rPr>
          <w:rFonts w:ascii="仿宋" w:hAnsi="仿宋" w:eastAsia="仿宋" w:cs="仿宋"/>
          <w:color w:val="auto"/>
          <w:szCs w:val="21"/>
        </w:rPr>
      </w:pPr>
      <w:r>
        <w:rPr>
          <w:rFonts w:hint="eastAsia" w:ascii="仿宋" w:hAnsi="仿宋" w:eastAsia="仿宋" w:cs="仿宋"/>
          <w:b/>
          <w:bCs/>
          <w:color w:val="auto"/>
          <w:szCs w:val="21"/>
        </w:rPr>
        <w:t>投标人的资格要求</w:t>
      </w:r>
      <w:r>
        <w:rPr>
          <w:rFonts w:hint="eastAsia" w:ascii="仿宋" w:hAnsi="仿宋" w:eastAsia="仿宋" w:cs="仿宋"/>
          <w:color w:val="auto"/>
          <w:szCs w:val="21"/>
        </w:rPr>
        <w:t>：</w:t>
      </w:r>
    </w:p>
    <w:p>
      <w:pPr>
        <w:numPr>
          <w:ilvl w:val="1"/>
          <w:numId w:val="1"/>
        </w:numPr>
        <w:tabs>
          <w:tab w:val="left" w:pos="1980"/>
        </w:tabs>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投标人资格要求：</w:t>
      </w:r>
    </w:p>
    <w:p>
      <w:pPr>
        <w:pStyle w:val="18"/>
        <w:spacing w:line="360" w:lineRule="auto"/>
        <w:ind w:firstLineChars="200"/>
        <w:rPr>
          <w:rFonts w:ascii="仿宋" w:hAnsi="仿宋" w:eastAsia="仿宋" w:cs="仿宋"/>
          <w:color w:val="auto"/>
          <w:szCs w:val="21"/>
        </w:rPr>
      </w:pPr>
      <w:r>
        <w:rPr>
          <w:rFonts w:hint="eastAsia" w:ascii="仿宋" w:hAnsi="仿宋" w:eastAsia="仿宋" w:cs="仿宋"/>
          <w:color w:val="auto"/>
          <w:szCs w:val="21"/>
        </w:rPr>
        <w:t>参加本项目的投标人应当是中华人民共和国境内的法人，同时还应具备如下条件：</w:t>
      </w:r>
    </w:p>
    <w:p>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（1）具有独立承担民事责任的能力；</w:t>
      </w:r>
    </w:p>
    <w:p>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（2）具有良好的商业信誉和健全的财务会计制度；</w:t>
      </w:r>
    </w:p>
    <w:p>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（3）具有履行合同所必需的设备和专业技术能力；</w:t>
      </w:r>
    </w:p>
    <w:p>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（4）有依法缴纳税收和社会保障资金的良好记录；</w:t>
      </w:r>
    </w:p>
    <w:p>
      <w:pPr>
        <w:adjustRightInd w:val="0"/>
        <w:snapToGrid w:val="0"/>
        <w:spacing w:line="360" w:lineRule="auto"/>
        <w:ind w:firstLine="420" w:firstLineChars="200"/>
        <w:rPr>
          <w:color w:val="auto"/>
        </w:rPr>
      </w:pPr>
      <w:r>
        <w:rPr>
          <w:rFonts w:hint="eastAsia" w:ascii="仿宋" w:hAnsi="仿宋" w:eastAsia="仿宋" w:cs="仿宋"/>
          <w:color w:val="auto"/>
          <w:szCs w:val="21"/>
        </w:rPr>
        <w:t>（5） 投标人应当具备:</w:t>
      </w:r>
      <w:r>
        <w:rPr>
          <w:rFonts w:hint="eastAsia" w:ascii="仿宋" w:hAnsi="仿宋" w:eastAsia="仿宋" w:cs="仿宋"/>
          <w:color w:val="auto"/>
          <w:szCs w:val="21"/>
          <w:u w:val="single"/>
        </w:rPr>
        <w:t xml:space="preserve"> / </w:t>
      </w:r>
      <w:r>
        <w:rPr>
          <w:rFonts w:hint="eastAsia" w:ascii="仿宋" w:hAnsi="仿宋" w:eastAsia="仿宋" w:cs="仿宋"/>
          <w:color w:val="auto"/>
          <w:szCs w:val="21"/>
        </w:rPr>
        <w:t>资质。</w:t>
      </w:r>
    </w:p>
    <w:p>
      <w:pPr>
        <w:pStyle w:val="18"/>
        <w:spacing w:line="360" w:lineRule="auto"/>
        <w:ind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 投标人应当承接过类似项目的业绩要求：</w:t>
      </w:r>
      <w:r>
        <w:rPr>
          <w:rFonts w:hint="eastAsia" w:ascii="仿宋" w:hAnsi="仿宋" w:eastAsia="仿宋" w:cs="仿宋"/>
          <w:color w:val="auto"/>
          <w:szCs w:val="21"/>
          <w:highlight w:val="none"/>
          <w:u w:val="single"/>
        </w:rPr>
        <w:t>投标人自2020年6月1日完成1个合同金额为</w:t>
      </w:r>
      <w:r>
        <w:rPr>
          <w:rFonts w:hint="eastAsia" w:ascii="仿宋" w:hAnsi="仿宋" w:eastAsia="仿宋" w:cs="仿宋"/>
          <w:color w:val="auto"/>
          <w:szCs w:val="21"/>
          <w:highlight w:val="none"/>
          <w:u w:val="single"/>
          <w:lang w:val="en-US" w:eastAsia="zh-CN"/>
        </w:rPr>
        <w:t>50</w:t>
      </w:r>
      <w:r>
        <w:rPr>
          <w:rFonts w:hint="eastAsia" w:ascii="仿宋" w:hAnsi="仿宋" w:eastAsia="仿宋" w:cs="仿宋"/>
          <w:color w:val="auto"/>
          <w:szCs w:val="21"/>
          <w:highlight w:val="none"/>
          <w:u w:val="single"/>
        </w:rPr>
        <w:t>万元</w:t>
      </w:r>
      <w:r>
        <w:rPr>
          <w:rFonts w:hint="eastAsia" w:ascii="仿宋" w:hAnsi="仿宋" w:eastAsia="仿宋" w:cs="仿宋"/>
          <w:color w:val="auto"/>
          <w:szCs w:val="21"/>
          <w:highlight w:val="none"/>
          <w:u w:val="single"/>
          <w:lang w:val="en-US" w:eastAsia="zh-CN"/>
        </w:rPr>
        <w:t>以上（含50万）</w:t>
      </w:r>
      <w:r>
        <w:rPr>
          <w:rFonts w:hint="eastAsia" w:ascii="仿宋" w:hAnsi="仿宋" w:eastAsia="仿宋" w:cs="仿宋"/>
          <w:color w:val="auto"/>
          <w:szCs w:val="21"/>
          <w:highlight w:val="none"/>
          <w:u w:val="single"/>
        </w:rPr>
        <w:t>的人力资源管理咨询服务</w:t>
      </w:r>
      <w:r>
        <w:rPr>
          <w:rFonts w:hint="eastAsia" w:ascii="仿宋" w:hAnsi="仿宋" w:eastAsia="仿宋" w:cs="仿宋"/>
          <w:color w:val="auto"/>
          <w:szCs w:val="21"/>
          <w:highlight w:val="none"/>
          <w:u w:val="single"/>
          <w:lang w:val="en-US" w:eastAsia="zh-CN"/>
        </w:rPr>
        <w:t>项目</w:t>
      </w:r>
      <w:r>
        <w:rPr>
          <w:rFonts w:hint="eastAsia" w:ascii="仿宋" w:hAnsi="仿宋" w:eastAsia="仿宋" w:cs="仿宋"/>
          <w:color w:val="auto"/>
          <w:szCs w:val="21"/>
          <w:highlight w:val="none"/>
          <w:u w:val="single"/>
        </w:rPr>
        <w:t>业绩</w:t>
      </w:r>
      <w:r>
        <w:rPr>
          <w:rFonts w:hint="eastAsia" w:ascii="仿宋" w:hAnsi="仿宋" w:eastAsia="仿宋" w:cs="仿宋"/>
          <w:color w:val="auto"/>
          <w:szCs w:val="21"/>
          <w:highlight w:val="none"/>
        </w:rPr>
        <w:t>。</w:t>
      </w:r>
    </w:p>
    <w:p>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（7） 项目负责人应当具备</w:t>
      </w:r>
      <w:r>
        <w:rPr>
          <w:rFonts w:hint="eastAsia" w:ascii="仿宋" w:hAnsi="仿宋" w:eastAsia="仿宋" w:cs="仿宋"/>
          <w:i/>
          <w:iCs/>
          <w:color w:val="auto"/>
          <w:szCs w:val="21"/>
        </w:rPr>
        <w:t xml:space="preserve"> </w:t>
      </w:r>
      <w:r>
        <w:rPr>
          <w:rFonts w:hint="eastAsia" w:ascii="仿宋" w:hAnsi="仿宋" w:eastAsia="仿宋" w:cs="仿宋"/>
          <w:color w:val="auto"/>
          <w:szCs w:val="21"/>
        </w:rPr>
        <w:t>：</w:t>
      </w:r>
      <w:r>
        <w:rPr>
          <w:rFonts w:hint="eastAsia" w:ascii="仿宋" w:hAnsi="仿宋" w:eastAsia="仿宋" w:cs="仿宋"/>
          <w:color w:val="auto"/>
          <w:szCs w:val="21"/>
          <w:u w:val="single"/>
        </w:rPr>
        <w:t xml:space="preserve"> / </w:t>
      </w:r>
      <w:r>
        <w:rPr>
          <w:rFonts w:hint="eastAsia" w:ascii="仿宋" w:hAnsi="仿宋" w:eastAsia="仿宋" w:cs="仿宋"/>
          <w:color w:val="auto"/>
          <w:szCs w:val="21"/>
        </w:rPr>
        <w:t>资质条件，同时还应当具有承接过类似项目的业绩要求：</w:t>
      </w:r>
      <w:r>
        <w:rPr>
          <w:rFonts w:hint="eastAsia" w:ascii="仿宋" w:hAnsi="仿宋" w:eastAsia="仿宋" w:cs="仿宋"/>
          <w:color w:val="auto"/>
          <w:szCs w:val="21"/>
          <w:u w:val="single"/>
        </w:rPr>
        <w:t xml:space="preserve"> / </w:t>
      </w:r>
      <w:r>
        <w:rPr>
          <w:rFonts w:hint="eastAsia" w:ascii="仿宋" w:hAnsi="仿宋" w:eastAsia="仿宋" w:cs="仿宋"/>
          <w:color w:val="auto"/>
          <w:szCs w:val="21"/>
        </w:rPr>
        <w:t>。</w:t>
      </w:r>
    </w:p>
    <w:p>
      <w:pPr>
        <w:pStyle w:val="18"/>
        <w:spacing w:line="360" w:lineRule="auto"/>
        <w:ind w:firstLineChars="200"/>
        <w:rPr>
          <w:rFonts w:ascii="仿宋" w:hAnsi="仿宋" w:eastAsia="仿宋" w:cs="仿宋"/>
          <w:color w:val="auto"/>
          <w:szCs w:val="21"/>
        </w:rPr>
      </w:pPr>
      <w:r>
        <w:rPr>
          <w:rFonts w:hint="eastAsia" w:ascii="仿宋" w:hAnsi="仿宋" w:eastAsia="仿宋" w:cs="仿宋"/>
          <w:color w:val="auto"/>
          <w:szCs w:val="21"/>
        </w:rPr>
        <w:t>（8） 其他要求：</w:t>
      </w:r>
      <w:r>
        <w:rPr>
          <w:rFonts w:hint="eastAsia" w:ascii="仿宋" w:hAnsi="仿宋" w:eastAsia="仿宋" w:cs="仿宋"/>
          <w:color w:val="auto"/>
          <w:szCs w:val="21"/>
          <w:u w:val="single"/>
        </w:rPr>
        <w:t xml:space="preserve"> / </w:t>
      </w:r>
      <w:r>
        <w:rPr>
          <w:rFonts w:hint="eastAsia" w:ascii="仿宋" w:hAnsi="仿宋" w:eastAsia="仿宋" w:cs="仿宋"/>
          <w:color w:val="auto"/>
          <w:szCs w:val="21"/>
        </w:rPr>
        <w:t>。</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（9）法律、行政法规和本项目招标文件规定的其他条件。</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4.2 投标人不得存在下列情形之一</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（1）与招标人存在利害关系且可能影响采购公正性。</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（2）与同一标段的其他投标人的单位负责人</w:t>
      </w:r>
      <w:r>
        <w:rPr>
          <w:rStyle w:val="23"/>
          <w:rFonts w:hint="eastAsia" w:ascii="仿宋" w:hAnsi="仿宋" w:eastAsia="仿宋" w:cs="仿宋"/>
          <w:b/>
          <w:bCs/>
          <w:color w:val="auto"/>
          <w:szCs w:val="21"/>
        </w:rPr>
        <w:footnoteReference w:id="0"/>
      </w:r>
      <w:r>
        <w:rPr>
          <w:rFonts w:hint="eastAsia" w:ascii="仿宋" w:hAnsi="仿宋" w:eastAsia="仿宋" w:cs="仿宋"/>
          <w:color w:val="auto"/>
          <w:szCs w:val="21"/>
        </w:rPr>
        <w:t>为同一人。</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（3）与同一标段的其他投标人存在直接控股</w:t>
      </w:r>
      <w:r>
        <w:rPr>
          <w:rStyle w:val="23"/>
          <w:rFonts w:hint="eastAsia" w:ascii="仿宋" w:hAnsi="仿宋" w:eastAsia="仿宋" w:cs="仿宋"/>
          <w:b/>
          <w:bCs/>
          <w:color w:val="auto"/>
          <w:szCs w:val="21"/>
        </w:rPr>
        <w:footnoteReference w:id="1"/>
      </w:r>
      <w:r>
        <w:rPr>
          <w:rFonts w:hint="eastAsia" w:ascii="仿宋" w:hAnsi="仿宋" w:eastAsia="仿宋" w:cs="仿宋"/>
          <w:color w:val="auto"/>
          <w:szCs w:val="21"/>
        </w:rPr>
        <w:t>关系。</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（4）与同一标段的其他投标人存在管理关系</w:t>
      </w:r>
      <w:r>
        <w:rPr>
          <w:rStyle w:val="23"/>
          <w:rFonts w:hint="eastAsia" w:ascii="仿宋" w:hAnsi="仿宋" w:eastAsia="仿宋" w:cs="仿宋"/>
          <w:b/>
          <w:bCs/>
          <w:color w:val="auto"/>
          <w:szCs w:val="21"/>
        </w:rPr>
        <w:footnoteReference w:id="2"/>
      </w:r>
      <w:r>
        <w:rPr>
          <w:rFonts w:hint="eastAsia" w:ascii="仿宋" w:hAnsi="仿宋" w:eastAsia="仿宋" w:cs="仿宋"/>
          <w:color w:val="auto"/>
          <w:szCs w:val="21"/>
        </w:rPr>
        <w:t>。</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（5）近三年内在经营活动中存在以下严重不良情形：</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①被本广东省以上行业主管部门依法暂停、取消投标或禁止参加招标活动的。</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②处于被责令停产停业、暂扣或者吊销执照、暂扣或者吊销许可证、吊销资质证书状态。</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③进入清算程序，或被宣告破产，或其他丧失履约能力情形的。</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④根据肇庆市交通集团有限公司投标人管理要求，被禁止参与招标活动且处于有效期内的。</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⑤其他禁止情形：</w:t>
      </w:r>
      <w:r>
        <w:rPr>
          <w:rFonts w:hint="eastAsia" w:ascii="仿宋" w:hAnsi="仿宋" w:eastAsia="仿宋" w:cs="仿宋"/>
          <w:color w:val="auto"/>
          <w:szCs w:val="21"/>
          <w:u w:val="single"/>
        </w:rPr>
        <w:t xml:space="preserve"> / </w:t>
      </w:r>
      <w:r>
        <w:rPr>
          <w:rFonts w:hint="eastAsia" w:ascii="仿宋" w:hAnsi="仿宋" w:eastAsia="仿宋" w:cs="仿宋"/>
          <w:color w:val="auto"/>
          <w:szCs w:val="21"/>
        </w:rPr>
        <w:t>。</w:t>
      </w:r>
    </w:p>
    <w:p>
      <w:pPr>
        <w:pStyle w:val="24"/>
        <w:numPr>
          <w:ilvl w:val="0"/>
          <w:numId w:val="2"/>
        </w:numPr>
        <w:ind w:firstLine="460" w:firstLineChars="200"/>
        <w:rPr>
          <w:rFonts w:ascii="仿宋" w:hAnsi="仿宋" w:eastAsia="仿宋" w:cs="仿宋"/>
          <w:color w:val="auto"/>
          <w:sz w:val="21"/>
          <w:szCs w:val="21"/>
        </w:rPr>
      </w:pPr>
      <w:r>
        <w:rPr>
          <w:rFonts w:hint="eastAsia" w:ascii="仿宋" w:hAnsi="仿宋" w:eastAsia="仿宋" w:cs="仿宋"/>
          <w:color w:val="auto"/>
          <w:sz w:val="21"/>
          <w:szCs w:val="21"/>
        </w:rPr>
        <w:t>在国家企业信用信息公示系统（http://www.gsxt.gov.cn/）中被列入严重违法失信企业名单。</w:t>
      </w:r>
    </w:p>
    <w:p>
      <w:pPr>
        <w:pStyle w:val="25"/>
        <w:numPr>
          <w:ilvl w:val="0"/>
          <w:numId w:val="2"/>
        </w:numPr>
        <w:spacing w:line="360" w:lineRule="auto"/>
        <w:rPr>
          <w:rFonts w:ascii="仿宋" w:hAnsi="仿宋" w:eastAsia="仿宋" w:cs="仿宋"/>
          <w:color w:val="auto"/>
          <w:szCs w:val="21"/>
        </w:rPr>
      </w:pPr>
      <w:r>
        <w:rPr>
          <w:rFonts w:hint="eastAsia" w:ascii="仿宋" w:hAnsi="仿宋" w:eastAsia="仿宋" w:cs="仿宋"/>
          <w:color w:val="auto"/>
          <w:szCs w:val="21"/>
        </w:rPr>
        <w:t>在“信用中国”网站（http://www.creditchina.gov.cn/）中被列入失信被执行人名单。</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4.3 本次项目不接受联合体参加招标活动。</w:t>
      </w:r>
    </w:p>
    <w:p>
      <w:pPr>
        <w:numPr>
          <w:ilvl w:val="0"/>
          <w:numId w:val="1"/>
        </w:numPr>
        <w:adjustRightInd w:val="0"/>
        <w:snapToGrid w:val="0"/>
        <w:spacing w:line="360" w:lineRule="auto"/>
        <w:ind w:firstLine="422" w:firstLineChars="200"/>
        <w:rPr>
          <w:rFonts w:ascii="仿宋" w:hAnsi="仿宋" w:eastAsia="仿宋" w:cs="仿宋"/>
          <w:b/>
          <w:bCs/>
          <w:color w:val="auto"/>
          <w:szCs w:val="21"/>
        </w:rPr>
      </w:pPr>
      <w:r>
        <w:rPr>
          <w:rFonts w:hint="eastAsia" w:ascii="仿宋" w:hAnsi="仿宋" w:eastAsia="仿宋" w:cs="仿宋"/>
          <w:b/>
          <w:bCs/>
          <w:color w:val="auto"/>
          <w:szCs w:val="21"/>
        </w:rPr>
        <w:t>招标文件的获取</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5.1 登记时间</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从</w:t>
      </w:r>
      <w:r>
        <w:rPr>
          <w:rFonts w:hint="eastAsia" w:ascii="仿宋" w:hAnsi="仿宋" w:eastAsia="仿宋" w:cs="仿宋"/>
          <w:color w:val="auto"/>
          <w:szCs w:val="21"/>
          <w:u w:val="single"/>
        </w:rPr>
        <w:t>2023</w:t>
      </w:r>
      <w:r>
        <w:rPr>
          <w:rFonts w:hint="eastAsia" w:ascii="仿宋" w:hAnsi="仿宋" w:eastAsia="仿宋" w:cs="仿宋"/>
          <w:color w:val="auto"/>
          <w:szCs w:val="21"/>
        </w:rPr>
        <w:t>年</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11</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月</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3</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日</w:t>
      </w:r>
      <w:r>
        <w:rPr>
          <w:rFonts w:hint="eastAsia" w:ascii="仿宋" w:hAnsi="仿宋" w:eastAsia="仿宋" w:cs="仿宋"/>
          <w:color w:val="auto"/>
          <w:szCs w:val="21"/>
          <w:lang w:val="en-US" w:eastAsia="zh-CN"/>
        </w:rPr>
        <w:t>10</w:t>
      </w:r>
      <w:r>
        <w:rPr>
          <w:rFonts w:hint="eastAsia" w:ascii="仿宋" w:hAnsi="仿宋" w:eastAsia="仿宋" w:cs="仿宋"/>
          <w:color w:val="auto"/>
          <w:szCs w:val="21"/>
        </w:rPr>
        <w:t>：00时至</w:t>
      </w:r>
      <w:r>
        <w:rPr>
          <w:rFonts w:hint="eastAsia" w:ascii="仿宋" w:hAnsi="仿宋" w:eastAsia="仿宋" w:cs="仿宋"/>
          <w:color w:val="auto"/>
          <w:szCs w:val="21"/>
          <w:u w:val="single"/>
        </w:rPr>
        <w:t>2023</w:t>
      </w:r>
      <w:r>
        <w:rPr>
          <w:rFonts w:hint="eastAsia" w:ascii="仿宋" w:hAnsi="仿宋" w:eastAsia="仿宋" w:cs="仿宋"/>
          <w:color w:val="auto"/>
          <w:szCs w:val="21"/>
        </w:rPr>
        <w:t>年</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11</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月</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6</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日</w:t>
      </w:r>
      <w:r>
        <w:rPr>
          <w:rFonts w:hint="eastAsia" w:ascii="仿宋" w:hAnsi="仿宋" w:eastAsia="仿宋" w:cs="仿宋"/>
          <w:iCs/>
          <w:color w:val="auto"/>
          <w:szCs w:val="21"/>
        </w:rPr>
        <w:t>24：00时（北京时间）止。</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5.2 获取方式</w:t>
      </w:r>
    </w:p>
    <w:p>
      <w:pPr>
        <w:pStyle w:val="18"/>
        <w:spacing w:line="360" w:lineRule="auto"/>
        <w:ind w:firstLineChars="200"/>
        <w:rPr>
          <w:rFonts w:ascii="仿宋" w:hAnsi="仿宋" w:eastAsia="仿宋" w:cs="仿宋"/>
          <w:color w:val="auto"/>
          <w:szCs w:val="21"/>
        </w:rPr>
      </w:pPr>
      <w:r>
        <w:rPr>
          <w:rFonts w:hint="eastAsia" w:ascii="仿宋" w:hAnsi="仿宋" w:eastAsia="仿宋" w:cs="仿宋"/>
          <w:color w:val="auto"/>
          <w:szCs w:val="21"/>
        </w:rPr>
        <w:t>在</w:t>
      </w:r>
      <w:r>
        <w:rPr>
          <w:rFonts w:hint="eastAsia" w:ascii="仿宋" w:hAnsi="仿宋" w:eastAsia="仿宋" w:cs="仿宋"/>
          <w:color w:val="auto"/>
          <w:szCs w:val="21"/>
          <w:u w:val="single"/>
        </w:rPr>
        <w:t>肇庆市交通集团电子采购平台</w:t>
      </w:r>
      <w:r>
        <w:rPr>
          <w:rFonts w:hint="eastAsia" w:ascii="仿宋" w:hAnsi="仿宋" w:eastAsia="仿宋" w:cs="仿宋"/>
          <w:color w:val="auto"/>
          <w:szCs w:val="21"/>
        </w:rPr>
        <w:t>下载招标文件，下载路径</w:t>
      </w:r>
      <w:r>
        <w:rPr>
          <w:rFonts w:hint="eastAsia" w:ascii="仿宋" w:hAnsi="仿宋" w:eastAsia="仿宋" w:cs="仿宋"/>
          <w:color w:val="auto"/>
          <w:szCs w:val="21"/>
          <w:u w:val="single"/>
        </w:rPr>
        <w:t>肇庆交通集团电子采购平台（http://36.140.21.61:8900/）</w:t>
      </w:r>
      <w:r>
        <w:rPr>
          <w:rFonts w:hint="eastAsia" w:ascii="仿宋" w:hAnsi="仿宋" w:eastAsia="仿宋" w:cs="仿宋"/>
          <w:color w:val="auto"/>
          <w:szCs w:val="21"/>
        </w:rPr>
        <w:t xml:space="preserve"> 。</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5.3 交纳招标文件工本费</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不收费。</w:t>
      </w:r>
    </w:p>
    <w:p>
      <w:pPr>
        <w:pStyle w:val="18"/>
        <w:spacing w:line="360" w:lineRule="auto"/>
        <w:ind w:firstLineChars="200"/>
        <w:rPr>
          <w:rFonts w:ascii="仿宋" w:hAnsi="仿宋" w:eastAsia="仿宋" w:cs="仿宋"/>
          <w:color w:val="auto"/>
          <w:szCs w:val="21"/>
        </w:rPr>
      </w:pPr>
      <w:r>
        <w:rPr>
          <w:rFonts w:hint="eastAsia" w:ascii="仿宋" w:hAnsi="仿宋" w:eastAsia="仿宋" w:cs="仿宋"/>
          <w:color w:val="auto"/>
          <w:szCs w:val="21"/>
        </w:rPr>
        <w:t>5.4 联系人</w:t>
      </w:r>
    </w:p>
    <w:p>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投标人在购买或领取招标文件时务必填写本次投标业务的联系人，在招标过程中的相关信息将以短信形式发送到该联系人手机上。自购买或领取招标文件之日起，投标人应保证其提供的联系方式一直有效，以便及时收到招标人发出的函件，否则招标人不承担由此引起的一切后果。</w:t>
      </w:r>
    </w:p>
    <w:p>
      <w:pPr>
        <w:numPr>
          <w:ilvl w:val="0"/>
          <w:numId w:val="1"/>
        </w:numPr>
        <w:adjustRightInd w:val="0"/>
        <w:snapToGrid w:val="0"/>
        <w:spacing w:line="360" w:lineRule="auto"/>
        <w:ind w:firstLine="422" w:firstLineChars="200"/>
        <w:rPr>
          <w:rFonts w:ascii="仿宋" w:hAnsi="仿宋" w:eastAsia="仿宋" w:cs="仿宋"/>
          <w:b/>
          <w:bCs/>
          <w:color w:val="auto"/>
          <w:szCs w:val="21"/>
        </w:rPr>
      </w:pPr>
      <w:r>
        <w:rPr>
          <w:rFonts w:hint="eastAsia" w:ascii="仿宋" w:hAnsi="仿宋" w:eastAsia="仿宋" w:cs="仿宋"/>
          <w:b/>
          <w:bCs/>
          <w:color w:val="auto"/>
          <w:szCs w:val="21"/>
        </w:rPr>
        <w:t>投标文件递交</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6.1 投标文件递交截止时间</w:t>
      </w:r>
    </w:p>
    <w:p>
      <w:pPr>
        <w:adjustRightInd w:val="0"/>
        <w:snapToGrid w:val="0"/>
        <w:spacing w:line="360" w:lineRule="auto"/>
        <w:ind w:firstLine="420" w:firstLineChars="200"/>
        <w:rPr>
          <w:rFonts w:ascii="仿宋" w:hAnsi="仿宋" w:eastAsia="仿宋" w:cs="仿宋"/>
          <w:bCs/>
          <w:color w:val="auto"/>
          <w:szCs w:val="21"/>
          <w:u w:val="single"/>
        </w:rPr>
      </w:pPr>
      <w:r>
        <w:rPr>
          <w:rFonts w:hint="eastAsia" w:ascii="仿宋" w:hAnsi="仿宋" w:eastAsia="仿宋" w:cs="仿宋"/>
          <w:color w:val="auto"/>
          <w:szCs w:val="21"/>
          <w:u w:val="single"/>
        </w:rPr>
        <w:t>2023</w:t>
      </w:r>
      <w:r>
        <w:rPr>
          <w:rFonts w:hint="eastAsia" w:ascii="仿宋" w:hAnsi="仿宋" w:eastAsia="仿宋" w:cs="仿宋"/>
          <w:bCs/>
          <w:color w:val="auto"/>
          <w:szCs w:val="21"/>
          <w:u w:val="single"/>
        </w:rPr>
        <w:t xml:space="preserve">年 </w:t>
      </w:r>
      <w:r>
        <w:rPr>
          <w:rFonts w:hint="eastAsia" w:ascii="仿宋" w:hAnsi="仿宋" w:eastAsia="仿宋" w:cs="仿宋"/>
          <w:bCs/>
          <w:color w:val="auto"/>
          <w:szCs w:val="21"/>
          <w:u w:val="single"/>
          <w:lang w:val="en-US" w:eastAsia="zh-CN"/>
        </w:rPr>
        <w:t>11</w:t>
      </w:r>
      <w:r>
        <w:rPr>
          <w:rFonts w:hint="eastAsia" w:ascii="仿宋" w:hAnsi="仿宋" w:eastAsia="仿宋" w:cs="仿宋"/>
          <w:bCs/>
          <w:color w:val="auto"/>
          <w:szCs w:val="21"/>
          <w:u w:val="single"/>
        </w:rPr>
        <w:t xml:space="preserve"> 月</w:t>
      </w:r>
      <w:r>
        <w:rPr>
          <w:rFonts w:hint="eastAsia" w:ascii="仿宋" w:hAnsi="仿宋" w:eastAsia="仿宋" w:cs="仿宋"/>
          <w:bCs/>
          <w:color w:val="auto"/>
          <w:szCs w:val="21"/>
          <w:u w:val="single"/>
          <w:lang w:val="en-US" w:eastAsia="zh-CN"/>
        </w:rPr>
        <w:t>10</w:t>
      </w:r>
      <w:r>
        <w:rPr>
          <w:rFonts w:hint="eastAsia" w:ascii="仿宋" w:hAnsi="仿宋" w:eastAsia="仿宋" w:cs="仿宋"/>
          <w:bCs/>
          <w:color w:val="auto"/>
          <w:szCs w:val="21"/>
          <w:u w:val="single"/>
        </w:rPr>
        <w:t xml:space="preserve">  日 </w:t>
      </w:r>
      <w:r>
        <w:rPr>
          <w:rFonts w:hint="eastAsia" w:ascii="仿宋" w:hAnsi="仿宋" w:eastAsia="仿宋" w:cs="仿宋"/>
          <w:bCs/>
          <w:color w:val="auto"/>
          <w:szCs w:val="21"/>
          <w:u w:val="single"/>
          <w:lang w:val="en-US" w:eastAsia="zh-CN"/>
        </w:rPr>
        <w:t>15</w:t>
      </w:r>
      <w:r>
        <w:rPr>
          <w:rFonts w:hint="eastAsia" w:ascii="仿宋" w:hAnsi="仿宋" w:eastAsia="仿宋" w:cs="仿宋"/>
          <w:bCs/>
          <w:color w:val="auto"/>
          <w:szCs w:val="21"/>
          <w:u w:val="single"/>
        </w:rPr>
        <w:t xml:space="preserve"> 时 </w:t>
      </w:r>
      <w:r>
        <w:rPr>
          <w:rFonts w:hint="eastAsia" w:ascii="仿宋" w:hAnsi="仿宋" w:eastAsia="仿宋" w:cs="仿宋"/>
          <w:bCs/>
          <w:color w:val="auto"/>
          <w:szCs w:val="21"/>
          <w:u w:val="single"/>
          <w:lang w:val="en-US" w:eastAsia="zh-CN"/>
        </w:rPr>
        <w:t>00</w:t>
      </w:r>
      <w:r>
        <w:rPr>
          <w:rFonts w:hint="eastAsia" w:ascii="仿宋" w:hAnsi="仿宋" w:eastAsia="仿宋" w:cs="仿宋"/>
          <w:bCs/>
          <w:color w:val="auto"/>
          <w:szCs w:val="21"/>
          <w:u w:val="single"/>
        </w:rPr>
        <w:t xml:space="preserve"> 分</w:t>
      </w:r>
      <w:r>
        <w:rPr>
          <w:rFonts w:hint="eastAsia" w:ascii="仿宋" w:hAnsi="仿宋" w:eastAsia="仿宋" w:cs="仿宋"/>
          <w:bCs/>
          <w:color w:val="auto"/>
          <w:szCs w:val="21"/>
        </w:rPr>
        <w:t>（北京时间）。</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6.2 递交地址</w:t>
      </w:r>
    </w:p>
    <w:p>
      <w:pPr>
        <w:pStyle w:val="18"/>
        <w:spacing w:line="360" w:lineRule="auto"/>
        <w:ind w:firstLineChars="200"/>
        <w:rPr>
          <w:rFonts w:ascii="仿宋" w:hAnsi="仿宋" w:eastAsia="仿宋" w:cs="仿宋"/>
          <w:color w:val="auto"/>
          <w:szCs w:val="21"/>
          <w:highlight w:val="yellow"/>
        </w:rPr>
      </w:pPr>
      <w:r>
        <w:rPr>
          <w:rFonts w:hint="eastAsia" w:ascii="仿宋" w:hAnsi="仿宋" w:eastAsia="仿宋" w:cs="仿宋"/>
          <w:color w:val="auto"/>
          <w:szCs w:val="21"/>
        </w:rPr>
        <w:t>加密上传到</w:t>
      </w:r>
      <w:r>
        <w:rPr>
          <w:rFonts w:hint="eastAsia" w:ascii="仿宋" w:hAnsi="仿宋" w:eastAsia="仿宋" w:cs="仿宋"/>
          <w:color w:val="auto"/>
          <w:szCs w:val="21"/>
          <w:u w:val="single"/>
        </w:rPr>
        <w:t>肇庆市交通集团电子采购平台</w:t>
      </w:r>
      <w:r>
        <w:rPr>
          <w:rFonts w:hint="eastAsia" w:ascii="仿宋" w:hAnsi="仿宋" w:eastAsia="仿宋" w:cs="仿宋"/>
          <w:color w:val="auto"/>
          <w:szCs w:val="21"/>
        </w:rPr>
        <w:t>。</w:t>
      </w:r>
    </w:p>
    <w:p>
      <w:pPr>
        <w:numPr>
          <w:ilvl w:val="0"/>
          <w:numId w:val="1"/>
        </w:numPr>
        <w:adjustRightInd w:val="0"/>
        <w:snapToGrid w:val="0"/>
        <w:spacing w:line="360" w:lineRule="auto"/>
        <w:ind w:firstLine="422" w:firstLineChars="200"/>
        <w:rPr>
          <w:rFonts w:ascii="仿宋" w:hAnsi="仿宋" w:eastAsia="仿宋" w:cs="仿宋"/>
          <w:b/>
          <w:bCs/>
          <w:color w:val="auto"/>
          <w:szCs w:val="21"/>
        </w:rPr>
      </w:pPr>
      <w:r>
        <w:rPr>
          <w:rFonts w:hint="eastAsia" w:ascii="仿宋" w:hAnsi="仿宋" w:eastAsia="仿宋" w:cs="仿宋"/>
          <w:b/>
          <w:bCs/>
          <w:color w:val="auto"/>
          <w:szCs w:val="21"/>
        </w:rPr>
        <w:t>投标文件的开启</w:t>
      </w:r>
    </w:p>
    <w:p>
      <w:pPr>
        <w:pStyle w:val="24"/>
        <w:ind w:firstLineChars="200"/>
        <w:rPr>
          <w:rFonts w:ascii="仿宋" w:hAnsi="仿宋" w:eastAsia="仿宋" w:cs="仿宋"/>
          <w:color w:val="auto"/>
          <w:spacing w:val="0"/>
          <w:kern w:val="2"/>
          <w:sz w:val="21"/>
          <w:szCs w:val="21"/>
        </w:rPr>
      </w:pPr>
      <w:r>
        <w:rPr>
          <w:rFonts w:hint="eastAsia" w:ascii="仿宋" w:hAnsi="仿宋" w:eastAsia="仿宋" w:cs="仿宋"/>
          <w:color w:val="auto"/>
          <w:spacing w:val="0"/>
          <w:kern w:val="2"/>
          <w:sz w:val="21"/>
          <w:szCs w:val="21"/>
        </w:rPr>
        <w:t>投标文件开启时间：</w:t>
      </w:r>
      <w:r>
        <w:rPr>
          <w:rFonts w:hint="eastAsia" w:ascii="仿宋" w:hAnsi="仿宋" w:eastAsia="仿宋" w:cs="仿宋"/>
          <w:color w:val="auto"/>
          <w:spacing w:val="0"/>
          <w:kern w:val="2"/>
          <w:sz w:val="21"/>
          <w:szCs w:val="21"/>
          <w:u w:val="single"/>
        </w:rPr>
        <w:t>2023</w:t>
      </w:r>
      <w:r>
        <w:rPr>
          <w:rFonts w:hint="eastAsia" w:ascii="仿宋" w:hAnsi="仿宋" w:eastAsia="仿宋" w:cs="仿宋"/>
          <w:color w:val="auto"/>
          <w:spacing w:val="0"/>
          <w:kern w:val="2"/>
          <w:sz w:val="21"/>
          <w:szCs w:val="21"/>
        </w:rPr>
        <w:t>年</w:t>
      </w:r>
      <w:r>
        <w:rPr>
          <w:rFonts w:hint="eastAsia" w:ascii="仿宋" w:hAnsi="仿宋" w:eastAsia="仿宋" w:cs="仿宋"/>
          <w:color w:val="auto"/>
          <w:spacing w:val="0"/>
          <w:kern w:val="2"/>
          <w:sz w:val="21"/>
          <w:szCs w:val="21"/>
          <w:u w:val="single"/>
        </w:rPr>
        <w:t xml:space="preserve"> </w:t>
      </w:r>
      <w:r>
        <w:rPr>
          <w:rFonts w:hint="eastAsia" w:ascii="仿宋" w:hAnsi="仿宋" w:eastAsia="仿宋" w:cs="仿宋"/>
          <w:color w:val="auto"/>
          <w:spacing w:val="0"/>
          <w:kern w:val="2"/>
          <w:sz w:val="21"/>
          <w:szCs w:val="21"/>
          <w:u w:val="single"/>
          <w:lang w:val="en-US" w:eastAsia="zh-CN"/>
        </w:rPr>
        <w:t>11</w:t>
      </w:r>
      <w:r>
        <w:rPr>
          <w:rFonts w:hint="eastAsia" w:ascii="仿宋" w:hAnsi="仿宋" w:eastAsia="仿宋" w:cs="仿宋"/>
          <w:color w:val="auto"/>
          <w:spacing w:val="0"/>
          <w:kern w:val="2"/>
          <w:sz w:val="21"/>
          <w:szCs w:val="21"/>
          <w:u w:val="single"/>
        </w:rPr>
        <w:t xml:space="preserve"> </w:t>
      </w:r>
      <w:r>
        <w:rPr>
          <w:rFonts w:hint="eastAsia" w:ascii="仿宋" w:hAnsi="仿宋" w:eastAsia="仿宋" w:cs="仿宋"/>
          <w:color w:val="auto"/>
          <w:spacing w:val="0"/>
          <w:kern w:val="2"/>
          <w:sz w:val="21"/>
          <w:szCs w:val="21"/>
        </w:rPr>
        <w:t>月</w:t>
      </w:r>
      <w:r>
        <w:rPr>
          <w:rFonts w:hint="eastAsia" w:ascii="仿宋" w:hAnsi="仿宋" w:eastAsia="仿宋" w:cs="仿宋"/>
          <w:color w:val="auto"/>
          <w:spacing w:val="0"/>
          <w:kern w:val="2"/>
          <w:sz w:val="21"/>
          <w:szCs w:val="21"/>
          <w:u w:val="single"/>
        </w:rPr>
        <w:t xml:space="preserve"> </w:t>
      </w:r>
      <w:r>
        <w:rPr>
          <w:rFonts w:hint="eastAsia" w:ascii="仿宋" w:hAnsi="仿宋" w:eastAsia="仿宋" w:cs="仿宋"/>
          <w:color w:val="auto"/>
          <w:spacing w:val="0"/>
          <w:kern w:val="2"/>
          <w:sz w:val="21"/>
          <w:szCs w:val="21"/>
          <w:u w:val="single"/>
          <w:lang w:val="en-US" w:eastAsia="zh-CN"/>
        </w:rPr>
        <w:t>10</w:t>
      </w:r>
      <w:r>
        <w:rPr>
          <w:rFonts w:hint="eastAsia" w:ascii="仿宋" w:hAnsi="仿宋" w:eastAsia="仿宋" w:cs="仿宋"/>
          <w:color w:val="auto"/>
          <w:spacing w:val="0"/>
          <w:kern w:val="2"/>
          <w:sz w:val="21"/>
          <w:szCs w:val="21"/>
          <w:u w:val="single"/>
        </w:rPr>
        <w:t xml:space="preserve"> </w:t>
      </w:r>
      <w:r>
        <w:rPr>
          <w:rFonts w:hint="eastAsia" w:ascii="仿宋" w:hAnsi="仿宋" w:eastAsia="仿宋" w:cs="仿宋"/>
          <w:color w:val="auto"/>
          <w:spacing w:val="0"/>
          <w:kern w:val="2"/>
          <w:sz w:val="21"/>
          <w:szCs w:val="21"/>
        </w:rPr>
        <w:t>日</w:t>
      </w:r>
      <w:r>
        <w:rPr>
          <w:rFonts w:hint="eastAsia" w:ascii="仿宋" w:hAnsi="仿宋" w:eastAsia="仿宋" w:cs="仿宋"/>
          <w:color w:val="auto"/>
          <w:spacing w:val="0"/>
          <w:kern w:val="2"/>
          <w:sz w:val="21"/>
          <w:szCs w:val="21"/>
          <w:u w:val="single"/>
        </w:rPr>
        <w:t xml:space="preserve"> </w:t>
      </w:r>
      <w:r>
        <w:rPr>
          <w:rFonts w:hint="eastAsia" w:ascii="仿宋" w:hAnsi="仿宋" w:eastAsia="仿宋" w:cs="仿宋"/>
          <w:color w:val="auto"/>
          <w:spacing w:val="0"/>
          <w:kern w:val="2"/>
          <w:sz w:val="21"/>
          <w:szCs w:val="21"/>
          <w:u w:val="single"/>
          <w:lang w:val="en-US" w:eastAsia="zh-CN"/>
        </w:rPr>
        <w:t>15</w:t>
      </w:r>
      <w:r>
        <w:rPr>
          <w:rFonts w:hint="eastAsia" w:ascii="仿宋" w:hAnsi="仿宋" w:eastAsia="仿宋" w:cs="仿宋"/>
          <w:color w:val="auto"/>
          <w:spacing w:val="0"/>
          <w:kern w:val="2"/>
          <w:sz w:val="21"/>
          <w:szCs w:val="21"/>
          <w:u w:val="single"/>
        </w:rPr>
        <w:t xml:space="preserve"> </w:t>
      </w:r>
      <w:r>
        <w:rPr>
          <w:rFonts w:hint="eastAsia" w:ascii="仿宋" w:hAnsi="仿宋" w:eastAsia="仿宋" w:cs="仿宋"/>
          <w:color w:val="auto"/>
          <w:spacing w:val="0"/>
          <w:kern w:val="2"/>
          <w:sz w:val="21"/>
          <w:szCs w:val="21"/>
        </w:rPr>
        <w:t>时</w:t>
      </w:r>
      <w:r>
        <w:rPr>
          <w:rFonts w:hint="eastAsia" w:ascii="仿宋" w:hAnsi="仿宋" w:eastAsia="仿宋" w:cs="仿宋"/>
          <w:color w:val="auto"/>
          <w:spacing w:val="0"/>
          <w:kern w:val="2"/>
          <w:sz w:val="21"/>
          <w:szCs w:val="21"/>
          <w:u w:val="single"/>
        </w:rPr>
        <w:t xml:space="preserve"> </w:t>
      </w:r>
      <w:r>
        <w:rPr>
          <w:rFonts w:hint="eastAsia" w:ascii="仿宋" w:hAnsi="仿宋" w:eastAsia="仿宋" w:cs="仿宋"/>
          <w:color w:val="auto"/>
          <w:spacing w:val="0"/>
          <w:kern w:val="2"/>
          <w:sz w:val="21"/>
          <w:szCs w:val="21"/>
          <w:u w:val="single"/>
          <w:lang w:val="en-US" w:eastAsia="zh-CN"/>
        </w:rPr>
        <w:t>00</w:t>
      </w:r>
      <w:r>
        <w:rPr>
          <w:rFonts w:hint="eastAsia" w:ascii="仿宋" w:hAnsi="仿宋" w:eastAsia="仿宋" w:cs="仿宋"/>
          <w:color w:val="auto"/>
          <w:spacing w:val="0"/>
          <w:kern w:val="2"/>
          <w:sz w:val="21"/>
          <w:szCs w:val="21"/>
          <w:u w:val="single"/>
        </w:rPr>
        <w:t xml:space="preserve"> </w:t>
      </w:r>
      <w:r>
        <w:rPr>
          <w:rFonts w:hint="eastAsia" w:ascii="仿宋" w:hAnsi="仿宋" w:eastAsia="仿宋" w:cs="仿宋"/>
          <w:color w:val="auto"/>
          <w:spacing w:val="0"/>
          <w:kern w:val="2"/>
          <w:sz w:val="21"/>
          <w:szCs w:val="21"/>
        </w:rPr>
        <w:t>分。地点：</w:t>
      </w:r>
      <w:r>
        <w:rPr>
          <w:rFonts w:hint="eastAsia" w:ascii="仿宋" w:hAnsi="仿宋" w:eastAsia="仿宋" w:cs="仿宋"/>
          <w:bCs/>
          <w:color w:val="auto"/>
          <w:sz w:val="21"/>
          <w:szCs w:val="21"/>
          <w:u w:val="single"/>
        </w:rPr>
        <w:t>肇庆市交通集团有限公司二楼矿业会议室。</w:t>
      </w:r>
    </w:p>
    <w:p>
      <w:pPr>
        <w:numPr>
          <w:ilvl w:val="0"/>
          <w:numId w:val="1"/>
        </w:numPr>
        <w:adjustRightInd w:val="0"/>
        <w:snapToGrid w:val="0"/>
        <w:spacing w:line="360" w:lineRule="auto"/>
        <w:ind w:firstLine="422" w:firstLineChars="200"/>
        <w:rPr>
          <w:rFonts w:ascii="仿宋" w:hAnsi="仿宋" w:eastAsia="仿宋" w:cs="仿宋"/>
          <w:b/>
          <w:bCs/>
          <w:color w:val="auto"/>
          <w:szCs w:val="21"/>
        </w:rPr>
      </w:pPr>
      <w:r>
        <w:rPr>
          <w:rFonts w:hint="eastAsia" w:ascii="仿宋" w:hAnsi="仿宋" w:eastAsia="仿宋" w:cs="仿宋"/>
          <w:b/>
          <w:bCs/>
          <w:color w:val="auto"/>
          <w:szCs w:val="21"/>
        </w:rPr>
        <w:t>其他</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8.1 登录</w:t>
      </w:r>
    </w:p>
    <w:p>
      <w:pPr>
        <w:adjustRightInd w:val="0"/>
        <w:snapToGrid w:val="0"/>
        <w:spacing w:line="360" w:lineRule="auto"/>
        <w:ind w:firstLine="420" w:firstLineChars="200"/>
        <w:rPr>
          <w:rFonts w:ascii="仿宋" w:hAnsi="仿宋" w:eastAsia="仿宋" w:cs="仿宋"/>
          <w:bCs/>
          <w:color w:val="auto"/>
          <w:szCs w:val="21"/>
        </w:rPr>
      </w:pPr>
      <w:r>
        <w:rPr>
          <w:rFonts w:hint="eastAsia" w:ascii="仿宋" w:hAnsi="仿宋" w:eastAsia="仿宋" w:cs="仿宋"/>
          <w:bCs/>
          <w:color w:val="auto"/>
          <w:szCs w:val="21"/>
        </w:rPr>
        <w:t>本项目通过</w:t>
      </w:r>
      <w:r>
        <w:rPr>
          <w:rFonts w:hint="eastAsia" w:ascii="仿宋" w:hAnsi="仿宋" w:eastAsia="仿宋" w:cs="仿宋"/>
          <w:bCs/>
          <w:color w:val="auto"/>
          <w:szCs w:val="21"/>
          <w:u w:val="single"/>
        </w:rPr>
        <w:t>肇庆市交通集团有限公司电子采购</w:t>
      </w:r>
      <w:r>
        <w:rPr>
          <w:rFonts w:hint="eastAsia" w:ascii="仿宋" w:hAnsi="仿宋" w:eastAsia="仿宋" w:cs="仿宋"/>
          <w:bCs/>
          <w:color w:val="auto"/>
          <w:szCs w:val="21"/>
        </w:rPr>
        <w:t>平台提供投标人注册、登记获取招标文件、下载招标文件、递交投标文件、澄清说明和补正等功能。投标人须访问</w:t>
      </w:r>
      <w:r>
        <w:rPr>
          <w:rFonts w:hint="eastAsia" w:ascii="仿宋" w:hAnsi="仿宋" w:eastAsia="仿宋" w:cs="仿宋"/>
          <w:bCs/>
          <w:color w:val="auto"/>
          <w:szCs w:val="21"/>
          <w:u w:val="single"/>
        </w:rPr>
        <w:t>肇庆市交通集团有限公司电子采购</w:t>
      </w:r>
      <w:r>
        <w:rPr>
          <w:rFonts w:hint="eastAsia" w:ascii="仿宋" w:hAnsi="仿宋" w:eastAsia="仿宋" w:cs="仿宋"/>
          <w:bCs/>
          <w:color w:val="auto"/>
          <w:szCs w:val="21"/>
        </w:rPr>
        <w:t>平台完成注册、交费、下载等有关操作，平台登录方式：</w:t>
      </w:r>
      <w:r>
        <w:rPr>
          <w:rFonts w:hint="eastAsia" w:ascii="仿宋" w:hAnsi="仿宋" w:eastAsia="仿宋" w:cs="仿宋"/>
          <w:color w:val="auto"/>
          <w:szCs w:val="21"/>
          <w:u w:val="single"/>
        </w:rPr>
        <w:t>肇庆交通集团电子采购平台（http://36.140.21.61:8900/）凭投标人账号密码登录</w:t>
      </w:r>
      <w:r>
        <w:rPr>
          <w:rFonts w:hint="eastAsia" w:ascii="仿宋" w:hAnsi="仿宋" w:eastAsia="仿宋" w:cs="仿宋"/>
          <w:bCs/>
          <w:color w:val="auto"/>
          <w:szCs w:val="21"/>
        </w:rPr>
        <w:t>。</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8.2 投标文件递交注意事项</w:t>
      </w:r>
    </w:p>
    <w:p>
      <w:pPr>
        <w:pStyle w:val="18"/>
        <w:spacing w:line="360" w:lineRule="auto"/>
        <w:ind w:firstLineChars="200"/>
        <w:rPr>
          <w:rFonts w:ascii="仿宋" w:hAnsi="仿宋" w:eastAsia="仿宋" w:cs="仿宋"/>
          <w:bCs/>
          <w:color w:val="auto"/>
          <w:szCs w:val="21"/>
        </w:rPr>
      </w:pPr>
      <w:r>
        <w:rPr>
          <w:rFonts w:hint="eastAsia" w:ascii="仿宋" w:hAnsi="仿宋" w:eastAsia="仿宋" w:cs="仿宋"/>
          <w:color w:val="auto"/>
          <w:szCs w:val="21"/>
        </w:rPr>
        <w:t>8.2.1 投标人请于投标文件递交截止时间前登录</w:t>
      </w:r>
      <w:r>
        <w:rPr>
          <w:rFonts w:hint="eastAsia" w:ascii="仿宋" w:hAnsi="仿宋" w:eastAsia="仿宋" w:cs="仿宋"/>
          <w:bCs/>
          <w:color w:val="auto"/>
          <w:szCs w:val="21"/>
          <w:u w:val="single"/>
        </w:rPr>
        <w:t>肇庆市交通集团有限公司电子采购</w:t>
      </w:r>
      <w:r>
        <w:rPr>
          <w:rFonts w:hint="eastAsia" w:ascii="仿宋" w:hAnsi="仿宋" w:eastAsia="仿宋" w:cs="仿宋"/>
          <w:bCs/>
          <w:color w:val="auto"/>
          <w:szCs w:val="21"/>
        </w:rPr>
        <w:t>平台进入投标文件递交页面。投标人的电脑和网络环境应按照</w:t>
      </w:r>
      <w:r>
        <w:rPr>
          <w:rFonts w:hint="eastAsia" w:ascii="仿宋" w:hAnsi="仿宋" w:eastAsia="仿宋" w:cs="仿宋"/>
          <w:bCs/>
          <w:color w:val="auto"/>
          <w:szCs w:val="21"/>
          <w:u w:val="single"/>
        </w:rPr>
        <w:t>肇庆市交通集团有限公司电子采购</w:t>
      </w:r>
      <w:r>
        <w:rPr>
          <w:rFonts w:hint="eastAsia" w:ascii="仿宋" w:hAnsi="仿宋" w:eastAsia="仿宋" w:cs="仿宋"/>
          <w:bCs/>
          <w:color w:val="auto"/>
          <w:szCs w:val="21"/>
        </w:rPr>
        <w:t>平台要求。电子投标文件逾期上传或上传未成功，招标人拒收投标文件（平台自动关闭上传端口）。参加多个标段投标的投标人必须分别按相应标段进行登记，并按对标段分别递交电子投标文件。招标人温馨提醒，为避免近响应截止时间网络拥堵，建议投标人适当提前上传时间。</w:t>
      </w:r>
    </w:p>
    <w:p>
      <w:pPr>
        <w:spacing w:line="360" w:lineRule="auto"/>
        <w:ind w:firstLine="420" w:firstLineChars="200"/>
        <w:rPr>
          <w:rFonts w:ascii="仿宋" w:hAnsi="仿宋" w:eastAsia="仿宋" w:cs="仿宋"/>
          <w:color w:val="auto"/>
          <w:szCs w:val="21"/>
        </w:rPr>
      </w:pPr>
      <w:r>
        <w:rPr>
          <w:rFonts w:hint="eastAsia" w:ascii="仿宋" w:hAnsi="仿宋" w:eastAsia="仿宋" w:cs="仿宋"/>
          <w:bCs/>
          <w:color w:val="auto"/>
          <w:szCs w:val="21"/>
        </w:rPr>
        <w:t>8.2.2 为防止解密失败，允许投标人递交密封的电子媒介作为备份文件。</w:t>
      </w:r>
    </w:p>
    <w:p>
      <w:pPr>
        <w:keepNext/>
        <w:keepLines/>
        <w:adjustRightInd w:val="0"/>
        <w:snapToGrid w:val="0"/>
        <w:spacing w:line="360" w:lineRule="auto"/>
        <w:ind w:firstLine="422" w:firstLineChars="200"/>
        <w:rPr>
          <w:rFonts w:ascii="仿宋" w:hAnsi="仿宋" w:eastAsia="仿宋" w:cs="仿宋"/>
          <w:b/>
          <w:color w:val="auto"/>
          <w:szCs w:val="21"/>
        </w:rPr>
      </w:pPr>
      <w:r>
        <w:rPr>
          <w:rFonts w:hint="eastAsia" w:ascii="仿宋" w:hAnsi="仿宋" w:eastAsia="仿宋" w:cs="仿宋"/>
          <w:b/>
          <w:color w:val="auto"/>
          <w:szCs w:val="21"/>
        </w:rPr>
        <w:t>9. 质疑与投诉</w:t>
      </w:r>
    </w:p>
    <w:p>
      <w:pPr>
        <w:widowControl/>
        <w:adjustRightInd w:val="0"/>
        <w:snapToGrid w:val="0"/>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投标人认为自己的权益受到损害的，可以在知道或者应知其权益受到损害之日起七个工作日内，向招标人提出质疑。质疑须以书面形式提出，列明质疑事项及相关依据，联系人、联系电话、传真、详细地址、邮编等基本信息并加盖公章。格式自拟。</w:t>
      </w:r>
    </w:p>
    <w:p>
      <w:pPr>
        <w:widowControl/>
        <w:adjustRightInd w:val="0"/>
        <w:snapToGrid w:val="0"/>
        <w:spacing w:line="360" w:lineRule="auto"/>
        <w:ind w:firstLine="422" w:firstLineChars="200"/>
        <w:jc w:val="left"/>
        <w:rPr>
          <w:rFonts w:ascii="仿宋" w:hAnsi="仿宋" w:eastAsia="仿宋" w:cs="仿宋"/>
          <w:b/>
          <w:bCs/>
          <w:color w:val="auto"/>
          <w:szCs w:val="21"/>
        </w:rPr>
      </w:pPr>
      <w:r>
        <w:rPr>
          <w:rFonts w:hint="eastAsia" w:ascii="仿宋" w:hAnsi="仿宋" w:eastAsia="仿宋" w:cs="仿宋"/>
          <w:b/>
          <w:bCs/>
          <w:color w:val="auto"/>
          <w:szCs w:val="21"/>
        </w:rPr>
        <w:t>10. 其他补充事宜</w:t>
      </w:r>
    </w:p>
    <w:p>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 xml:space="preserve">    </w:t>
      </w:r>
      <w:r>
        <w:rPr>
          <w:rFonts w:hint="eastAsia" w:ascii="仿宋" w:hAnsi="仿宋" w:eastAsia="仿宋" w:cs="仿宋"/>
          <w:color w:val="auto"/>
          <w:szCs w:val="21"/>
          <w:u w:val="single"/>
        </w:rPr>
        <w:t xml:space="preserve"> / </w:t>
      </w:r>
    </w:p>
    <w:p>
      <w:pPr>
        <w:adjustRightInd w:val="0"/>
        <w:snapToGrid w:val="0"/>
        <w:spacing w:line="360" w:lineRule="auto"/>
        <w:ind w:firstLine="422" w:firstLineChars="200"/>
        <w:rPr>
          <w:rFonts w:ascii="仿宋" w:hAnsi="仿宋" w:eastAsia="仿宋" w:cs="仿宋"/>
          <w:b/>
          <w:bCs/>
          <w:color w:val="auto"/>
          <w:szCs w:val="21"/>
        </w:rPr>
      </w:pPr>
      <w:r>
        <w:rPr>
          <w:rFonts w:hint="eastAsia" w:ascii="仿宋" w:hAnsi="仿宋" w:eastAsia="仿宋" w:cs="仿宋"/>
          <w:b/>
          <w:bCs/>
          <w:color w:val="auto"/>
          <w:szCs w:val="21"/>
        </w:rPr>
        <w:t>11. 特别提示：本招标项目为企业招标，不属于依法必须公开招标和政府采购范围。</w:t>
      </w:r>
    </w:p>
    <w:p>
      <w:pPr>
        <w:adjustRightInd w:val="0"/>
        <w:snapToGrid w:val="0"/>
        <w:spacing w:line="360" w:lineRule="auto"/>
        <w:ind w:firstLine="422" w:firstLineChars="200"/>
        <w:rPr>
          <w:rFonts w:ascii="仿宋" w:hAnsi="仿宋" w:eastAsia="仿宋" w:cs="仿宋"/>
          <w:b/>
          <w:bCs/>
          <w:color w:val="auto"/>
          <w:szCs w:val="21"/>
        </w:rPr>
      </w:pPr>
      <w:r>
        <w:rPr>
          <w:rFonts w:hint="eastAsia" w:ascii="仿宋" w:hAnsi="仿宋" w:eastAsia="仿宋" w:cs="仿宋"/>
          <w:b/>
          <w:bCs/>
          <w:color w:val="auto"/>
          <w:szCs w:val="21"/>
        </w:rPr>
        <w:t>12. 联系方式。</w:t>
      </w:r>
    </w:p>
    <w:p>
      <w:pPr>
        <w:widowControl/>
        <w:adjustRightInd w:val="0"/>
        <w:snapToGrid w:val="0"/>
        <w:spacing w:line="360" w:lineRule="auto"/>
        <w:ind w:firstLine="420" w:firstLineChars="200"/>
        <w:jc w:val="left"/>
        <w:rPr>
          <w:rFonts w:hint="eastAsia" w:ascii="仿宋" w:hAnsi="仿宋" w:eastAsia="仿宋" w:cs="仿宋"/>
          <w:color w:val="auto"/>
          <w:kern w:val="0"/>
          <w:szCs w:val="21"/>
          <w:lang w:eastAsia="zh-CN"/>
        </w:rPr>
      </w:pPr>
      <w:r>
        <w:rPr>
          <w:rFonts w:hint="eastAsia" w:ascii="仿宋" w:hAnsi="仿宋" w:eastAsia="仿宋" w:cs="仿宋"/>
          <w:color w:val="auto"/>
          <w:szCs w:val="21"/>
        </w:rPr>
        <w:t>招标人</w:t>
      </w:r>
      <w:r>
        <w:rPr>
          <w:rFonts w:hint="eastAsia" w:ascii="仿宋" w:hAnsi="仿宋" w:eastAsia="仿宋" w:cs="仿宋"/>
          <w:color w:val="auto"/>
          <w:kern w:val="0"/>
          <w:szCs w:val="21"/>
        </w:rPr>
        <w:t xml:space="preserve">： </w:t>
      </w:r>
      <w:r>
        <w:rPr>
          <w:rFonts w:hint="eastAsia" w:ascii="仿宋" w:hAnsi="仿宋" w:eastAsia="仿宋" w:cs="仿宋"/>
          <w:color w:val="auto"/>
          <w:szCs w:val="21"/>
          <w:u w:val="single"/>
          <w:lang w:eastAsia="zh-CN"/>
        </w:rPr>
        <w:t>肇庆市港口投资发展有限公司</w:t>
      </w:r>
    </w:p>
    <w:p>
      <w:pPr>
        <w:widowControl/>
        <w:adjustRightInd w:val="0"/>
        <w:snapToGrid w:val="0"/>
        <w:spacing w:line="360" w:lineRule="auto"/>
        <w:ind w:firstLine="420" w:firstLineChars="200"/>
        <w:jc w:val="left"/>
        <w:rPr>
          <w:rFonts w:ascii="仿宋" w:hAnsi="仿宋" w:eastAsia="仿宋" w:cs="仿宋"/>
          <w:color w:val="auto"/>
          <w:szCs w:val="21"/>
          <w:u w:val="single"/>
        </w:rPr>
      </w:pPr>
      <w:r>
        <w:rPr>
          <w:rFonts w:hint="eastAsia" w:ascii="仿宋" w:hAnsi="仿宋" w:eastAsia="仿宋" w:cs="仿宋"/>
          <w:color w:val="auto"/>
          <w:kern w:val="0"/>
          <w:szCs w:val="21"/>
        </w:rPr>
        <w:t xml:space="preserve">地  址： </w:t>
      </w:r>
      <w:r>
        <w:rPr>
          <w:rFonts w:hint="eastAsia" w:ascii="仿宋" w:hAnsi="仿宋" w:eastAsia="仿宋" w:cs="仿宋"/>
          <w:color w:val="auto"/>
          <w:szCs w:val="21"/>
          <w:u w:val="single"/>
        </w:rPr>
        <w:t>肇庆市端州区站前西路肇庆市交通集团</w:t>
      </w:r>
    </w:p>
    <w:p>
      <w:pPr>
        <w:widowControl/>
        <w:adjustRightInd w:val="0"/>
        <w:snapToGrid w:val="0"/>
        <w:spacing w:line="360" w:lineRule="auto"/>
        <w:ind w:firstLine="420" w:firstLineChars="200"/>
        <w:jc w:val="left"/>
        <w:rPr>
          <w:rFonts w:hint="eastAsia" w:ascii="仿宋" w:hAnsi="仿宋" w:eastAsia="仿宋" w:cs="仿宋"/>
          <w:color w:val="auto"/>
          <w:szCs w:val="21"/>
          <w:u w:val="single"/>
          <w:lang w:eastAsia="zh-CN"/>
        </w:rPr>
      </w:pPr>
      <w:r>
        <w:rPr>
          <w:rFonts w:hint="eastAsia" w:ascii="仿宋" w:hAnsi="仿宋" w:eastAsia="仿宋" w:cs="仿宋"/>
          <w:color w:val="auto"/>
          <w:szCs w:val="21"/>
        </w:rPr>
        <w:t xml:space="preserve">联系人： </w:t>
      </w:r>
      <w:r>
        <w:rPr>
          <w:rFonts w:hint="eastAsia" w:ascii="仿宋" w:hAnsi="仿宋" w:eastAsia="仿宋" w:cs="仿宋"/>
          <w:color w:val="auto"/>
          <w:szCs w:val="21"/>
          <w:u w:val="single"/>
          <w:lang w:eastAsia="zh-CN"/>
        </w:rPr>
        <w:t>李小姐</w:t>
      </w:r>
    </w:p>
    <w:p>
      <w:pPr>
        <w:widowControl/>
        <w:adjustRightInd w:val="0"/>
        <w:snapToGrid w:val="0"/>
        <w:spacing w:line="360" w:lineRule="auto"/>
        <w:ind w:firstLine="420" w:firstLineChars="200"/>
        <w:jc w:val="left"/>
        <w:rPr>
          <w:rFonts w:hint="eastAsia" w:ascii="仿宋" w:hAnsi="仿宋" w:eastAsia="仿宋" w:cs="仿宋"/>
          <w:color w:val="auto"/>
          <w:szCs w:val="21"/>
          <w:u w:val="single"/>
          <w:lang w:eastAsia="zh-CN"/>
        </w:rPr>
      </w:pPr>
      <w:r>
        <w:rPr>
          <w:rFonts w:hint="eastAsia" w:ascii="仿宋" w:hAnsi="仿宋" w:eastAsia="仿宋" w:cs="仿宋"/>
          <w:color w:val="auto"/>
          <w:kern w:val="0"/>
          <w:szCs w:val="21"/>
        </w:rPr>
        <w:t>联系方式：</w:t>
      </w:r>
      <w:r>
        <w:rPr>
          <w:rFonts w:hint="eastAsia" w:ascii="仿宋" w:hAnsi="仿宋" w:eastAsia="仿宋" w:cs="仿宋"/>
          <w:color w:val="auto"/>
          <w:szCs w:val="21"/>
          <w:u w:val="single"/>
          <w:lang w:eastAsia="zh-CN"/>
        </w:rPr>
        <w:t>13450184517</w:t>
      </w:r>
    </w:p>
    <w:p>
      <w:pPr>
        <w:adjustRightInd w:val="0"/>
        <w:snapToGrid w:val="0"/>
        <w:spacing w:line="360" w:lineRule="auto"/>
        <w:ind w:firstLine="420" w:firstLineChars="200"/>
        <w:rPr>
          <w:rFonts w:ascii="仿宋" w:hAnsi="仿宋" w:eastAsia="仿宋" w:cs="仿宋"/>
          <w:color w:val="auto"/>
          <w:szCs w:val="21"/>
          <w:u w:val="single"/>
        </w:rPr>
      </w:pPr>
      <w:r>
        <w:rPr>
          <w:rFonts w:hint="eastAsia" w:ascii="仿宋" w:hAnsi="仿宋" w:eastAsia="仿宋" w:cs="仿宋"/>
          <w:bCs/>
          <w:color w:val="auto"/>
          <w:szCs w:val="21"/>
        </w:rPr>
        <w:t>电子邮箱：</w:t>
      </w:r>
      <w:r>
        <w:rPr>
          <w:rFonts w:hint="eastAsia" w:ascii="仿宋" w:hAnsi="仿宋" w:eastAsia="仿宋" w:cs="仿宋"/>
          <w:color w:val="auto"/>
          <w:szCs w:val="21"/>
          <w:u w:val="single"/>
        </w:rPr>
        <w:t>zqjtgxg@163.com</w:t>
      </w:r>
    </w:p>
    <w:p>
      <w:pPr>
        <w:pStyle w:val="24"/>
        <w:rPr>
          <w:color w:val="auto"/>
        </w:rPr>
      </w:pPr>
    </w:p>
    <w:p>
      <w:pPr>
        <w:pStyle w:val="25"/>
        <w:rPr>
          <w:color w:val="auto"/>
        </w:rPr>
      </w:pPr>
    </w:p>
    <w:p>
      <w:pPr>
        <w:widowControl/>
        <w:adjustRightInd w:val="0"/>
        <w:snapToGrid w:val="0"/>
        <w:spacing w:line="360" w:lineRule="auto"/>
        <w:ind w:firstLine="420" w:firstLineChars="200"/>
        <w:jc w:val="right"/>
        <w:rPr>
          <w:rFonts w:ascii="仿宋" w:hAnsi="仿宋" w:eastAsia="仿宋" w:cs="仿宋"/>
          <w:color w:val="auto"/>
          <w:szCs w:val="21"/>
        </w:rPr>
      </w:pPr>
      <w:r>
        <w:rPr>
          <w:rFonts w:hint="eastAsia" w:ascii="仿宋" w:hAnsi="仿宋" w:eastAsia="仿宋" w:cs="仿宋"/>
          <w:color w:val="auto"/>
          <w:szCs w:val="21"/>
          <w:u w:val="single"/>
          <w:lang w:eastAsia="zh-CN"/>
        </w:rPr>
        <w:t>肇庆市港口投资发展有限公司</w:t>
      </w:r>
      <w:r>
        <w:rPr>
          <w:rFonts w:hint="eastAsia" w:ascii="仿宋" w:hAnsi="仿宋" w:eastAsia="仿宋" w:cs="仿宋"/>
          <w:color w:val="auto"/>
          <w:szCs w:val="21"/>
        </w:rPr>
        <w:t>（单位章）</w:t>
      </w:r>
    </w:p>
    <w:p>
      <w:pPr>
        <w:pStyle w:val="18"/>
        <w:spacing w:line="360" w:lineRule="auto"/>
        <w:ind w:firstLineChars="200"/>
        <w:jc w:val="right"/>
        <w:rPr>
          <w:rFonts w:ascii="仿宋" w:hAnsi="仿宋" w:eastAsia="仿宋" w:cs="仿宋"/>
          <w:color w:val="auto"/>
          <w:szCs w:val="21"/>
        </w:rPr>
      </w:pPr>
      <w:r>
        <w:rPr>
          <w:rFonts w:hint="eastAsia" w:ascii="仿宋" w:hAnsi="仿宋" w:eastAsia="仿宋" w:cs="仿宋"/>
          <w:color w:val="auto"/>
          <w:szCs w:val="21"/>
          <w:u w:val="single"/>
        </w:rPr>
        <w:t xml:space="preserve">2023年 </w:t>
      </w:r>
      <w:r>
        <w:rPr>
          <w:rFonts w:hint="eastAsia" w:ascii="仿宋" w:hAnsi="仿宋" w:eastAsia="仿宋" w:cs="仿宋"/>
          <w:color w:val="auto"/>
          <w:szCs w:val="21"/>
          <w:u w:val="single"/>
          <w:lang w:val="en-US" w:eastAsia="zh-CN"/>
        </w:rPr>
        <w:t>11</w:t>
      </w:r>
      <w:r>
        <w:rPr>
          <w:rFonts w:hint="eastAsia" w:ascii="仿宋" w:hAnsi="仿宋" w:eastAsia="仿宋" w:cs="仿宋"/>
          <w:color w:val="auto"/>
          <w:szCs w:val="21"/>
          <w:u w:val="single"/>
        </w:rPr>
        <w:t xml:space="preserve"> 月 </w:t>
      </w:r>
      <w:r>
        <w:rPr>
          <w:rFonts w:hint="eastAsia" w:ascii="仿宋" w:hAnsi="仿宋" w:eastAsia="仿宋" w:cs="仿宋"/>
          <w:color w:val="auto"/>
          <w:szCs w:val="21"/>
          <w:u w:val="single"/>
          <w:lang w:val="en-US" w:eastAsia="zh-CN"/>
        </w:rPr>
        <w:t>3</w:t>
      </w:r>
      <w:r>
        <w:rPr>
          <w:rFonts w:hint="eastAsia" w:ascii="仿宋" w:hAnsi="仿宋" w:eastAsia="仿宋" w:cs="仿宋"/>
          <w:color w:val="auto"/>
          <w:szCs w:val="21"/>
          <w:u w:val="single"/>
        </w:rPr>
        <w:t xml:space="preserve"> 日</w:t>
      </w:r>
    </w:p>
    <w:p>
      <w:pPr>
        <w:adjustRightInd w:val="0"/>
        <w:snapToGrid w:val="0"/>
        <w:spacing w:line="360" w:lineRule="auto"/>
        <w:ind w:firstLine="420" w:firstLineChars="200"/>
        <w:rPr>
          <w:rFonts w:ascii="仿宋" w:hAnsi="仿宋" w:eastAsia="仿宋" w:cs="仿宋"/>
          <w:color w:val="auto"/>
          <w:szCs w:val="21"/>
          <w:u w:val="single"/>
        </w:rPr>
      </w:pPr>
    </w:p>
    <w:p>
      <w:pPr>
        <w:adjustRightInd w:val="0"/>
        <w:snapToGrid w:val="0"/>
        <w:spacing w:line="360" w:lineRule="auto"/>
        <w:ind w:firstLine="422" w:firstLineChars="200"/>
        <w:rPr>
          <w:rFonts w:ascii="仿宋" w:hAnsi="仿宋" w:eastAsia="仿宋" w:cs="仿宋"/>
          <w:b/>
          <w:bCs/>
          <w:color w:val="auto"/>
          <w:szCs w:val="21"/>
        </w:rPr>
        <w:sectPr>
          <w:footerReference r:id="rId4" w:type="default"/>
          <w:footnotePr>
            <w:numFmt w:val="decimalEnclosedCircleChinese"/>
            <w:numRestart w:val="eachPage"/>
          </w:footnotePr>
          <w:pgSz w:w="11906" w:h="16838"/>
          <w:pgMar w:top="1440" w:right="1800" w:bottom="1440" w:left="1800" w:header="851" w:footer="992" w:gutter="0"/>
          <w:pgNumType w:start="1"/>
          <w:cols w:space="720" w:num="1"/>
          <w:docGrid w:type="lines" w:linePitch="312" w:charSpace="0"/>
        </w:sectPr>
      </w:pPr>
    </w:p>
    <w:p>
      <w:pPr>
        <w:pStyle w:val="2"/>
        <w:adjustRightInd w:val="0"/>
        <w:snapToGrid w:val="0"/>
        <w:spacing w:before="0" w:after="0" w:line="360" w:lineRule="auto"/>
        <w:jc w:val="center"/>
        <w:rPr>
          <w:rFonts w:ascii="仿宋" w:hAnsi="仿宋" w:eastAsia="仿宋" w:cs="仿宋"/>
          <w:color w:val="auto"/>
          <w:sz w:val="30"/>
          <w:szCs w:val="30"/>
        </w:rPr>
      </w:pPr>
      <w:bookmarkStart w:id="3" w:name="_Toc12107_WPSOffice_Level1"/>
      <w:bookmarkStart w:id="4" w:name="_Toc12527"/>
      <w:bookmarkStart w:id="5" w:name="_Toc17166"/>
      <w:r>
        <w:rPr>
          <w:rFonts w:hint="eastAsia" w:ascii="仿宋" w:hAnsi="仿宋" w:eastAsia="仿宋" w:cs="仿宋"/>
          <w:color w:val="auto"/>
          <w:sz w:val="30"/>
          <w:szCs w:val="30"/>
        </w:rPr>
        <w:t xml:space="preserve">第二章 </w:t>
      </w:r>
      <w:bookmarkEnd w:id="3"/>
      <w:r>
        <w:rPr>
          <w:rFonts w:hint="eastAsia" w:ascii="仿宋" w:hAnsi="仿宋" w:eastAsia="仿宋" w:cs="仿宋"/>
          <w:color w:val="auto"/>
          <w:sz w:val="30"/>
          <w:szCs w:val="30"/>
        </w:rPr>
        <w:t>投标人须知</w:t>
      </w:r>
      <w:bookmarkEnd w:id="4"/>
      <w:bookmarkEnd w:id="5"/>
    </w:p>
    <w:p>
      <w:pPr>
        <w:pStyle w:val="5"/>
        <w:ind w:firstLine="0" w:firstLineChars="0"/>
        <w:rPr>
          <w:rFonts w:ascii="仿宋" w:hAnsi="仿宋" w:eastAsia="仿宋" w:cs="仿宋"/>
          <w:b/>
          <w:bCs/>
          <w:color w:val="auto"/>
          <w:sz w:val="28"/>
          <w:szCs w:val="28"/>
        </w:rPr>
      </w:pPr>
      <w:r>
        <w:rPr>
          <w:rFonts w:hint="eastAsia" w:ascii="仿宋" w:hAnsi="仿宋" w:eastAsia="仿宋" w:cs="仿宋"/>
          <w:b/>
          <w:bCs/>
          <w:color w:val="auto"/>
          <w:sz w:val="28"/>
          <w:szCs w:val="28"/>
        </w:rPr>
        <w:t>一、 投标人须知表</w:t>
      </w:r>
    </w:p>
    <w:tbl>
      <w:tblPr>
        <w:tblStyle w:val="19"/>
        <w:tblW w:w="8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562"/>
        <w:gridCol w:w="6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870" w:type="dxa"/>
            <w:tcBorders>
              <w:tl2br w:val="nil"/>
              <w:tr2bl w:val="nil"/>
            </w:tcBorders>
            <w:vAlign w:val="center"/>
          </w:tcPr>
          <w:p>
            <w:pPr>
              <w:widowControl/>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条款号</w:t>
            </w:r>
          </w:p>
        </w:tc>
        <w:tc>
          <w:tcPr>
            <w:tcW w:w="1562" w:type="dxa"/>
            <w:tcBorders>
              <w:tl2br w:val="nil"/>
              <w:tr2bl w:val="nil"/>
            </w:tcBorders>
            <w:vAlign w:val="center"/>
          </w:tcPr>
          <w:p>
            <w:pPr>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项   目</w:t>
            </w:r>
          </w:p>
        </w:tc>
        <w:tc>
          <w:tcPr>
            <w:tcW w:w="6173" w:type="dxa"/>
            <w:tcBorders>
              <w:tl2br w:val="nil"/>
              <w:tr2bl w:val="nil"/>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870" w:type="dxa"/>
            <w:tcBorders>
              <w:tl2br w:val="nil"/>
              <w:tr2bl w:val="nil"/>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1.1</w:t>
            </w:r>
          </w:p>
        </w:tc>
        <w:tc>
          <w:tcPr>
            <w:tcW w:w="1562" w:type="dxa"/>
            <w:tcBorders>
              <w:tl2br w:val="nil"/>
              <w:tr2bl w:val="nil"/>
            </w:tcBorders>
            <w:vAlign w:val="center"/>
          </w:tcPr>
          <w:p>
            <w:pPr>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招标人</w:t>
            </w:r>
          </w:p>
        </w:tc>
        <w:tc>
          <w:tcPr>
            <w:tcW w:w="6173" w:type="dxa"/>
            <w:tcBorders>
              <w:tl2br w:val="nil"/>
              <w:tr2bl w:val="nil"/>
            </w:tcBorders>
            <w:vAlign w:val="center"/>
          </w:tcPr>
          <w:p>
            <w:pPr>
              <w:widowControl/>
              <w:jc w:val="left"/>
              <w:rPr>
                <w:rFonts w:hint="eastAsia" w:ascii="仿宋_GB2312" w:hAnsi="仿宋_GB2312" w:eastAsia="仿宋_GB2312" w:cs="仿宋_GB2312"/>
                <w:color w:val="auto"/>
                <w:kern w:val="0"/>
                <w:szCs w:val="21"/>
                <w:u w:val="single"/>
                <w:lang w:eastAsia="zh-CN"/>
              </w:rPr>
            </w:pPr>
            <w:r>
              <w:rPr>
                <w:rFonts w:hint="eastAsia" w:ascii="仿宋_GB2312" w:hAnsi="仿宋_GB2312" w:eastAsia="仿宋_GB2312" w:cs="仿宋_GB2312"/>
                <w:color w:val="auto"/>
                <w:kern w:val="0"/>
                <w:szCs w:val="21"/>
              </w:rPr>
              <w:t>名  称：</w:t>
            </w:r>
            <w:r>
              <w:rPr>
                <w:rFonts w:hint="eastAsia" w:ascii="仿宋_GB2312" w:hAnsi="仿宋_GB2312" w:eastAsia="仿宋_GB2312" w:cs="仿宋_GB2312"/>
                <w:color w:val="auto"/>
                <w:kern w:val="0"/>
                <w:szCs w:val="21"/>
                <w:u w:val="single"/>
                <w:lang w:eastAsia="zh-CN"/>
              </w:rPr>
              <w:t>肇庆市港口投资发展有限公司</w:t>
            </w:r>
          </w:p>
          <w:p>
            <w:pPr>
              <w:widowControl/>
              <w:jc w:val="left"/>
              <w:rPr>
                <w:rFonts w:ascii="仿宋_GB2312" w:hAnsi="仿宋_GB2312" w:eastAsia="仿宋_GB2312" w:cs="仿宋_GB2312"/>
                <w:color w:val="auto"/>
                <w:kern w:val="0"/>
                <w:szCs w:val="21"/>
                <w:u w:val="single"/>
              </w:rPr>
            </w:pPr>
            <w:r>
              <w:rPr>
                <w:rFonts w:hint="eastAsia" w:ascii="仿宋_GB2312" w:hAnsi="仿宋_GB2312" w:eastAsia="仿宋_GB2312" w:cs="仿宋_GB2312"/>
                <w:color w:val="auto"/>
                <w:kern w:val="0"/>
                <w:szCs w:val="21"/>
              </w:rPr>
              <w:t>地  址：</w:t>
            </w:r>
            <w:r>
              <w:rPr>
                <w:rFonts w:hint="eastAsia" w:ascii="仿宋_GB2312" w:hAnsi="仿宋_GB2312" w:eastAsia="仿宋_GB2312" w:cs="仿宋_GB2312"/>
                <w:color w:val="auto"/>
                <w:kern w:val="0"/>
                <w:szCs w:val="21"/>
                <w:u w:val="single"/>
              </w:rPr>
              <w:t>肇庆市端州区站前西路肇庆市交通集团</w:t>
            </w:r>
          </w:p>
          <w:p>
            <w:pPr>
              <w:widowControl/>
              <w:jc w:val="left"/>
              <w:rPr>
                <w:rFonts w:hint="default" w:ascii="仿宋_GB2312" w:hAnsi="仿宋_GB2312" w:eastAsia="仿宋_GB2312" w:cs="仿宋_GB2312"/>
                <w:color w:val="auto"/>
                <w:kern w:val="0"/>
                <w:szCs w:val="21"/>
                <w:u w:val="single"/>
                <w:lang w:val="en-US" w:eastAsia="zh-CN"/>
              </w:rPr>
            </w:pPr>
            <w:r>
              <w:rPr>
                <w:rFonts w:hint="eastAsia" w:ascii="仿宋_GB2312" w:hAnsi="仿宋_GB2312" w:eastAsia="仿宋_GB2312" w:cs="仿宋_GB2312"/>
                <w:color w:val="auto"/>
                <w:kern w:val="0"/>
                <w:szCs w:val="21"/>
              </w:rPr>
              <w:t>联系人：</w:t>
            </w:r>
            <w:r>
              <w:rPr>
                <w:rFonts w:hint="eastAsia" w:ascii="仿宋_GB2312" w:hAnsi="仿宋_GB2312" w:eastAsia="仿宋_GB2312" w:cs="仿宋_GB2312"/>
                <w:color w:val="auto"/>
                <w:kern w:val="0"/>
                <w:szCs w:val="21"/>
                <w:u w:val="single"/>
                <w:lang w:val="en-US" w:eastAsia="zh-CN"/>
              </w:rPr>
              <w:t>李小姐</w:t>
            </w:r>
          </w:p>
          <w:p>
            <w:pPr>
              <w:widowControl/>
              <w:jc w:val="left"/>
              <w:rPr>
                <w:rFonts w:hint="eastAsia" w:ascii="仿宋_GB2312" w:hAnsi="仿宋_GB2312" w:eastAsia="仿宋_GB2312" w:cs="仿宋_GB2312"/>
                <w:color w:val="auto"/>
                <w:kern w:val="0"/>
                <w:szCs w:val="21"/>
                <w:lang w:eastAsia="zh-CN"/>
              </w:rPr>
            </w:pPr>
            <w:r>
              <w:rPr>
                <w:rFonts w:hint="eastAsia" w:ascii="仿宋_GB2312" w:hAnsi="仿宋_GB2312" w:eastAsia="仿宋_GB2312" w:cs="仿宋_GB2312"/>
                <w:color w:val="auto"/>
                <w:kern w:val="0"/>
                <w:szCs w:val="21"/>
              </w:rPr>
              <w:t>电  话：</w:t>
            </w:r>
            <w:r>
              <w:rPr>
                <w:rFonts w:hint="eastAsia" w:ascii="仿宋_GB2312" w:hAnsi="仿宋_GB2312" w:eastAsia="仿宋_GB2312" w:cs="仿宋_GB2312"/>
                <w:color w:val="auto"/>
                <w:kern w:val="0"/>
                <w:szCs w:val="21"/>
                <w:u w:val="single"/>
                <w:lang w:eastAsia="zh-CN"/>
              </w:rPr>
              <w:t>13450184517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tcBorders>
              <w:tl2br w:val="nil"/>
              <w:tr2bl w:val="nil"/>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1.2.3</w:t>
            </w:r>
          </w:p>
        </w:tc>
        <w:tc>
          <w:tcPr>
            <w:tcW w:w="1562" w:type="dxa"/>
            <w:tcBorders>
              <w:tl2br w:val="nil"/>
              <w:tr2bl w:val="nil"/>
            </w:tcBorders>
            <w:vAlign w:val="center"/>
          </w:tcPr>
          <w:p>
            <w:pPr>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投标人还要满足的其它资格条件</w:t>
            </w:r>
          </w:p>
        </w:tc>
        <w:tc>
          <w:tcPr>
            <w:tcW w:w="6173" w:type="dxa"/>
            <w:tcBorders>
              <w:tl2br w:val="nil"/>
              <w:tr2bl w:val="nil"/>
            </w:tcBorders>
            <w:vAlign w:val="center"/>
          </w:tcPr>
          <w:p>
            <w:pPr>
              <w:widowControl/>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见“第一章 招标公告 4.投标人的资格要求”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0" w:type="dxa"/>
            <w:tcBorders>
              <w:tl2br w:val="nil"/>
              <w:tr2bl w:val="nil"/>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1.3</w:t>
            </w:r>
          </w:p>
        </w:tc>
        <w:tc>
          <w:tcPr>
            <w:tcW w:w="1562" w:type="dxa"/>
            <w:tcBorders>
              <w:tl2br w:val="nil"/>
              <w:tr2bl w:val="nil"/>
            </w:tcBorders>
            <w:vAlign w:val="center"/>
          </w:tcPr>
          <w:p>
            <w:pPr>
              <w:tabs>
                <w:tab w:val="left" w:pos="1425"/>
              </w:tabs>
              <w:jc w:val="center"/>
              <w:rPr>
                <w:rFonts w:ascii="仿宋_GB2312" w:hAnsi="仿宋_GB2312" w:eastAsia="仿宋_GB2312" w:cs="仿宋_GB2312"/>
                <w:b/>
                <w:color w:val="auto"/>
                <w:kern w:val="0"/>
                <w:szCs w:val="21"/>
              </w:rPr>
            </w:pPr>
            <w:r>
              <w:rPr>
                <w:rFonts w:hint="eastAsia" w:ascii="仿宋_GB2312" w:hAnsi="仿宋_GB2312" w:eastAsia="仿宋_GB2312" w:cs="仿宋_GB2312"/>
                <w:bCs/>
                <w:color w:val="auto"/>
                <w:kern w:val="0"/>
                <w:szCs w:val="21"/>
              </w:rPr>
              <w:t>是否允许联合体参加招标活动</w:t>
            </w:r>
          </w:p>
        </w:tc>
        <w:tc>
          <w:tcPr>
            <w:tcW w:w="6173" w:type="dxa"/>
            <w:tcBorders>
              <w:tl2br w:val="nil"/>
              <w:tr2bl w:val="nil"/>
            </w:tcBorders>
            <w:vAlign w:val="center"/>
          </w:tcPr>
          <w:p>
            <w:pP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sym w:font="Wingdings 2" w:char="00A3"/>
            </w:r>
            <w:r>
              <w:rPr>
                <w:rFonts w:hint="eastAsia" w:ascii="仿宋_GB2312" w:hAnsi="仿宋_GB2312" w:eastAsia="仿宋_GB2312" w:cs="仿宋_GB2312"/>
                <w:color w:val="auto"/>
                <w:kern w:val="0"/>
                <w:szCs w:val="21"/>
              </w:rPr>
              <w:t>是</w:t>
            </w:r>
          </w:p>
          <w:p>
            <w:pP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sym w:font="Wingdings 2" w:char="0052"/>
            </w:r>
            <w:r>
              <w:rPr>
                <w:rFonts w:hint="eastAsia" w:ascii="仿宋_GB2312" w:hAnsi="仿宋_GB2312" w:eastAsia="仿宋_GB2312" w:cs="仿宋_GB2312"/>
                <w:color w:val="auto"/>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0" w:type="dxa"/>
            <w:tcBorders>
              <w:tl2br w:val="nil"/>
              <w:tr2bl w:val="nil"/>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1.3.6</w:t>
            </w:r>
          </w:p>
        </w:tc>
        <w:tc>
          <w:tcPr>
            <w:tcW w:w="1562" w:type="dxa"/>
            <w:tcBorders>
              <w:tl2br w:val="nil"/>
              <w:tr2bl w:val="nil"/>
            </w:tcBorders>
            <w:vAlign w:val="center"/>
          </w:tcPr>
          <w:p>
            <w:pPr>
              <w:tabs>
                <w:tab w:val="left" w:pos="1425"/>
              </w:tabs>
              <w:jc w:val="center"/>
              <w:rPr>
                <w:rFonts w:ascii="仿宋_GB2312" w:hAnsi="仿宋_GB2312" w:eastAsia="仿宋_GB2312" w:cs="仿宋_GB2312"/>
                <w:bCs/>
                <w:color w:val="auto"/>
                <w:kern w:val="0"/>
                <w:szCs w:val="21"/>
              </w:rPr>
            </w:pPr>
            <w:r>
              <w:rPr>
                <w:rFonts w:hint="eastAsia" w:ascii="仿宋_GB2312" w:hAnsi="仿宋_GB2312" w:eastAsia="仿宋_GB2312" w:cs="仿宋_GB2312"/>
                <w:bCs/>
                <w:color w:val="auto"/>
                <w:kern w:val="0"/>
                <w:szCs w:val="21"/>
              </w:rPr>
              <w:t>联合体的其他资格要求</w:t>
            </w:r>
          </w:p>
        </w:tc>
        <w:tc>
          <w:tcPr>
            <w:tcW w:w="6173" w:type="dxa"/>
            <w:tcBorders>
              <w:tl2br w:val="nil"/>
              <w:tr2bl w:val="nil"/>
            </w:tcBorders>
            <w:vAlign w:val="center"/>
          </w:tcPr>
          <w:p>
            <w:pPr>
              <w:rPr>
                <w:rFonts w:ascii="仿宋_GB2312" w:hAnsi="仿宋_GB2312" w:eastAsia="仿宋_GB2312" w:cs="仿宋_GB2312"/>
                <w:bCs/>
                <w:color w:val="auto"/>
                <w:kern w:val="0"/>
                <w:szCs w:val="21"/>
              </w:rPr>
            </w:pPr>
            <w:r>
              <w:rPr>
                <w:rFonts w:hint="eastAsia" w:ascii="仿宋_GB2312" w:hAnsi="仿宋_GB2312" w:eastAsia="仿宋_GB2312" w:cs="仿宋_GB2312"/>
                <w:bCs/>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70" w:type="dxa"/>
            <w:tcBorders>
              <w:tl2br w:val="nil"/>
              <w:tr2bl w:val="nil"/>
            </w:tcBorders>
            <w:vAlign w:val="center"/>
          </w:tcPr>
          <w:p>
            <w:pPr>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2.2</w:t>
            </w:r>
          </w:p>
        </w:tc>
        <w:tc>
          <w:tcPr>
            <w:tcW w:w="1562" w:type="dxa"/>
            <w:tcBorders>
              <w:tl2br w:val="nil"/>
              <w:tr2bl w:val="nil"/>
            </w:tcBorders>
            <w:vAlign w:val="center"/>
          </w:tcPr>
          <w:p>
            <w:pPr>
              <w:shd w:val="clear" w:color="auto" w:fill="FFFFFF"/>
              <w:jc w:val="center"/>
              <w:rPr>
                <w:rFonts w:ascii="仿宋_GB2312" w:hAnsi="仿宋_GB2312" w:eastAsia="仿宋_GB2312" w:cs="仿宋_GB2312"/>
                <w:bCs/>
                <w:color w:val="auto"/>
                <w:kern w:val="0"/>
                <w:szCs w:val="21"/>
              </w:rPr>
            </w:pPr>
            <w:r>
              <w:rPr>
                <w:rFonts w:hint="eastAsia" w:ascii="仿宋_GB2312" w:hAnsi="仿宋_GB2312" w:eastAsia="仿宋_GB2312" w:cs="仿宋_GB2312"/>
                <w:color w:val="auto"/>
                <w:kern w:val="0"/>
                <w:szCs w:val="21"/>
              </w:rPr>
              <w:t>最高限价</w:t>
            </w:r>
          </w:p>
        </w:tc>
        <w:tc>
          <w:tcPr>
            <w:tcW w:w="6173" w:type="dxa"/>
            <w:tcBorders>
              <w:tl2br w:val="nil"/>
              <w:tr2bl w:val="nil"/>
            </w:tcBorders>
            <w:vAlign w:val="center"/>
          </w:tcPr>
          <w:p>
            <w:pPr>
              <w:rPr>
                <w:rFonts w:ascii="仿宋_GB2312" w:hAnsi="仿宋_GB2312" w:eastAsia="仿宋_GB2312" w:cs="仿宋_GB2312"/>
                <w:bCs/>
                <w:color w:val="auto"/>
                <w:kern w:val="0"/>
                <w:szCs w:val="21"/>
              </w:rPr>
            </w:pPr>
            <w:r>
              <w:rPr>
                <w:rFonts w:hint="eastAsia" w:ascii="仿宋_GB2312" w:hAnsi="仿宋_GB2312" w:eastAsia="仿宋_GB2312" w:cs="仿宋_GB2312"/>
                <w:bCs/>
                <w:color w:val="auto"/>
                <w:kern w:val="0"/>
                <w:szCs w:val="21"/>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0" w:type="dxa"/>
            <w:tcBorders>
              <w:tl2br w:val="nil"/>
              <w:tr2bl w:val="nil"/>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6.1</w:t>
            </w:r>
          </w:p>
        </w:tc>
        <w:tc>
          <w:tcPr>
            <w:tcW w:w="1562" w:type="dxa"/>
            <w:tcBorders>
              <w:tl2br w:val="nil"/>
              <w:tr2bl w:val="nil"/>
            </w:tcBorders>
            <w:vAlign w:val="center"/>
          </w:tcPr>
          <w:p>
            <w:pPr>
              <w:shd w:val="clear" w:color="auto" w:fill="FFFFFF"/>
              <w:jc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现场考察、答疑会</w:t>
            </w:r>
          </w:p>
        </w:tc>
        <w:tc>
          <w:tcPr>
            <w:tcW w:w="6173" w:type="dxa"/>
            <w:tcBorders>
              <w:tl2br w:val="nil"/>
              <w:tr2bl w:val="nil"/>
            </w:tcBorders>
            <w:vAlign w:val="center"/>
          </w:tcPr>
          <w:p>
            <w:pP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sym w:font="Wingdings 2" w:char="0052"/>
            </w:r>
            <w:r>
              <w:rPr>
                <w:rFonts w:hint="eastAsia" w:ascii="仿宋_GB2312" w:hAnsi="仿宋_GB2312" w:eastAsia="仿宋_GB2312" w:cs="仿宋_GB2312"/>
                <w:color w:val="auto"/>
                <w:kern w:val="0"/>
                <w:szCs w:val="21"/>
              </w:rPr>
              <w:t>不组织</w:t>
            </w:r>
          </w:p>
          <w:p>
            <w:pP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sym w:font="Wingdings 2" w:char="00A3"/>
            </w:r>
            <w:r>
              <w:rPr>
                <w:rFonts w:hint="eastAsia" w:ascii="仿宋_GB2312" w:hAnsi="仿宋_GB2312" w:eastAsia="仿宋_GB2312" w:cs="仿宋_GB2312"/>
                <w:color w:val="auto"/>
                <w:kern w:val="0"/>
                <w:szCs w:val="21"/>
              </w:rPr>
              <w:t>组织，时  间：</w:t>
            </w:r>
            <w:r>
              <w:rPr>
                <w:rFonts w:hint="eastAsia" w:ascii="仿宋_GB2312" w:hAnsi="仿宋_GB2312" w:eastAsia="仿宋_GB2312" w:cs="仿宋_GB2312"/>
                <w:bCs/>
                <w:color w:val="auto"/>
                <w:kern w:val="0"/>
                <w:szCs w:val="21"/>
                <w:u w:val="single"/>
              </w:rPr>
              <w:t xml:space="preserve">         </w:t>
            </w:r>
          </w:p>
          <w:p>
            <w:pPr>
              <w:widowControl/>
              <w:ind w:left="-105" w:leftChars="-50" w:firstLine="949" w:firstLineChars="452"/>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地  点：</w:t>
            </w:r>
            <w:r>
              <w:rPr>
                <w:rFonts w:hint="eastAsia" w:ascii="仿宋_GB2312" w:hAnsi="仿宋_GB2312" w:eastAsia="仿宋_GB2312" w:cs="仿宋_GB2312"/>
                <w:bCs/>
                <w:color w:val="auto"/>
                <w:kern w:val="0"/>
                <w:szCs w:val="21"/>
                <w:u w:val="single"/>
              </w:rPr>
              <w:t xml:space="preserve">         </w:t>
            </w:r>
          </w:p>
          <w:p>
            <w:pPr>
              <w:ind w:left="-105" w:leftChars="-50" w:firstLine="949" w:firstLineChars="452"/>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联系人：</w:t>
            </w:r>
            <w:r>
              <w:rPr>
                <w:rFonts w:hint="eastAsia" w:ascii="仿宋_GB2312" w:hAnsi="仿宋_GB2312" w:eastAsia="仿宋_GB2312" w:cs="仿宋_GB2312"/>
                <w:bCs/>
                <w:color w:val="auto"/>
                <w:kern w:val="0"/>
                <w:szCs w:val="21"/>
                <w:u w:val="single"/>
              </w:rPr>
              <w:t xml:space="preserve">         </w:t>
            </w:r>
          </w:p>
          <w:p>
            <w:pPr>
              <w:ind w:left="-105" w:leftChars="-50" w:firstLine="949" w:firstLineChars="452"/>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电  话：</w:t>
            </w:r>
            <w:r>
              <w:rPr>
                <w:rFonts w:hint="eastAsia" w:ascii="仿宋_GB2312" w:hAnsi="仿宋_GB2312" w:eastAsia="仿宋_GB2312" w:cs="仿宋_GB2312"/>
                <w:bCs/>
                <w:color w:val="auto"/>
                <w:kern w:val="0"/>
                <w:szCs w:val="21"/>
                <w:u w:val="single"/>
              </w:rPr>
              <w:t xml:space="preserve">         </w:t>
            </w:r>
          </w:p>
          <w:p>
            <w:pP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sym w:font="Wingdings 2" w:char="00A3"/>
            </w:r>
            <w:r>
              <w:rPr>
                <w:rFonts w:hint="eastAsia" w:ascii="仿宋_GB2312" w:hAnsi="仿宋_GB2312" w:eastAsia="仿宋_GB2312" w:cs="仿宋_GB2312"/>
                <w:color w:val="auto"/>
                <w:kern w:val="0"/>
                <w:szCs w:val="21"/>
              </w:rPr>
              <w:t>组织，招标文件提供期限截止后以书面形式通知。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0" w:type="dxa"/>
            <w:tcBorders>
              <w:tl2br w:val="nil"/>
              <w:tr2bl w:val="nil"/>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7.1.1</w:t>
            </w:r>
          </w:p>
        </w:tc>
        <w:tc>
          <w:tcPr>
            <w:tcW w:w="1562" w:type="dxa"/>
            <w:tcBorders>
              <w:tl2br w:val="nil"/>
              <w:tr2bl w:val="nil"/>
            </w:tcBorders>
            <w:vAlign w:val="center"/>
          </w:tcPr>
          <w:p>
            <w:pPr>
              <w:shd w:val="clear" w:color="auto" w:fill="FFFFFF"/>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分包</w:t>
            </w:r>
          </w:p>
        </w:tc>
        <w:tc>
          <w:tcPr>
            <w:tcW w:w="6173" w:type="dxa"/>
            <w:tcBorders>
              <w:tl2br w:val="nil"/>
              <w:tr2bl w:val="nil"/>
            </w:tcBorders>
            <w:vAlign w:val="center"/>
          </w:tcPr>
          <w:p>
            <w:pPr>
              <w:rPr>
                <w:rFonts w:ascii="仿宋_GB2312" w:hAnsi="仿宋_GB2312" w:eastAsia="仿宋_GB2312" w:cs="仿宋_GB2312"/>
                <w:color w:val="auto"/>
                <w:szCs w:val="21"/>
              </w:rPr>
            </w:pPr>
            <w:r>
              <w:rPr>
                <w:rFonts w:hint="eastAsia" w:ascii="仿宋_GB2312" w:hAnsi="仿宋_GB2312" w:eastAsia="仿宋_GB2312" w:cs="仿宋_GB2312"/>
                <w:color w:val="auto"/>
                <w:szCs w:val="21"/>
              </w:rPr>
              <w:sym w:font="Wingdings 2" w:char="0052"/>
            </w:r>
            <w:r>
              <w:rPr>
                <w:rFonts w:hint="eastAsia" w:ascii="仿宋_GB2312" w:hAnsi="仿宋_GB2312" w:eastAsia="仿宋_GB2312" w:cs="仿宋_GB2312"/>
                <w:color w:val="auto"/>
                <w:szCs w:val="21"/>
              </w:rPr>
              <w:t>不允许</w:t>
            </w:r>
          </w:p>
          <w:p>
            <w:pPr>
              <w:pStyle w:val="24"/>
              <w:ind w:firstLine="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允许，</w:t>
            </w:r>
          </w:p>
          <w:p>
            <w:pPr>
              <w:pStyle w:val="25"/>
              <w:numPr>
                <w:ilvl w:val="0"/>
                <w:numId w:val="3"/>
              </w:numP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分包内容：</w:t>
            </w:r>
          </w:p>
          <w:p>
            <w:pPr>
              <w:pStyle w:val="25"/>
              <w:numPr>
                <w:ilvl w:val="0"/>
                <w:numId w:val="3"/>
              </w:numP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分包资质要求：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70" w:type="dxa"/>
            <w:tcBorders>
              <w:tl2br w:val="nil"/>
              <w:tr2bl w:val="nil"/>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14.1</w:t>
            </w:r>
          </w:p>
        </w:tc>
        <w:tc>
          <w:tcPr>
            <w:tcW w:w="1562" w:type="dxa"/>
            <w:tcBorders>
              <w:tl2br w:val="nil"/>
              <w:tr2bl w:val="nil"/>
            </w:tcBorders>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投标保证金</w:t>
            </w:r>
          </w:p>
        </w:tc>
        <w:tc>
          <w:tcPr>
            <w:tcW w:w="6173" w:type="dxa"/>
            <w:tcBorders>
              <w:tl2br w:val="nil"/>
              <w:tr2bl w:val="nil"/>
            </w:tcBorders>
            <w:vAlign w:val="center"/>
          </w:tcPr>
          <w:p>
            <w:pPr>
              <w:pStyle w:val="6"/>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是否要求投标人递交投标保证金</w:t>
            </w:r>
          </w:p>
          <w:p>
            <w:pP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sym w:font="Wingdings 2" w:char="0052"/>
            </w:r>
            <w:r>
              <w:rPr>
                <w:rFonts w:hint="eastAsia" w:ascii="仿宋_GB2312" w:hAnsi="仿宋_GB2312" w:eastAsia="仿宋_GB2312" w:cs="仿宋_GB2312"/>
                <w:color w:val="auto"/>
                <w:kern w:val="0"/>
                <w:szCs w:val="21"/>
              </w:rPr>
              <w:t>否</w:t>
            </w:r>
          </w:p>
          <w:p>
            <w:pPr>
              <w:pStyle w:val="6"/>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sym w:font="Wingdings 2" w:char="00A3"/>
            </w:r>
            <w:r>
              <w:rPr>
                <w:rFonts w:hint="eastAsia" w:ascii="仿宋_GB2312" w:hAnsi="仿宋_GB2312" w:eastAsia="仿宋_GB2312" w:cs="仿宋_GB2312"/>
                <w:color w:val="auto"/>
                <w:kern w:val="0"/>
                <w:szCs w:val="21"/>
              </w:rPr>
              <w:t>是，并满足下列要求（投标人参加多个标段投标的，应按所投标段分别递交投标保证金）：</w:t>
            </w:r>
          </w:p>
          <w:p>
            <w:pPr>
              <w:pStyle w:val="6"/>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w:t>
            </w:r>
            <w:r>
              <w:rPr>
                <w:rFonts w:hint="eastAsia" w:ascii="仿宋_GB2312" w:hAnsi="仿宋_GB2312" w:eastAsia="仿宋_GB2312" w:cs="仿宋_GB2312"/>
                <w:color w:val="auto"/>
                <w:szCs w:val="21"/>
              </w:rPr>
              <w:t>投标保证金</w:t>
            </w:r>
            <w:r>
              <w:rPr>
                <w:rFonts w:hint="eastAsia" w:ascii="仿宋_GB2312" w:hAnsi="仿宋_GB2312" w:eastAsia="仿宋_GB2312" w:cs="仿宋_GB2312"/>
                <w:color w:val="auto"/>
                <w:kern w:val="0"/>
                <w:szCs w:val="21"/>
              </w:rPr>
              <w:t>金额：人民币</w:t>
            </w:r>
            <w:r>
              <w:rPr>
                <w:rFonts w:hint="eastAsia" w:ascii="仿宋_GB2312" w:hAnsi="仿宋_GB2312" w:eastAsia="仿宋_GB2312" w:cs="仿宋_GB2312"/>
                <w:color w:val="auto"/>
                <w:kern w:val="0"/>
                <w:szCs w:val="21"/>
                <w:u w:val="single"/>
              </w:rPr>
              <w:t xml:space="preserve"> </w:t>
            </w:r>
            <w:r>
              <w:rPr>
                <w:rFonts w:hint="eastAsia" w:ascii="仿宋_GB2312" w:hAnsi="仿宋_GB2312" w:eastAsia="仿宋_GB2312" w:cs="仿宋_GB2312"/>
                <w:color w:val="auto"/>
                <w:kern w:val="0"/>
                <w:szCs w:val="21"/>
                <w:u w:val="single"/>
                <w:lang w:val="en-US" w:eastAsia="zh-CN"/>
              </w:rPr>
              <w:t>/</w:t>
            </w:r>
            <w:r>
              <w:rPr>
                <w:rFonts w:hint="eastAsia" w:ascii="仿宋_GB2312" w:hAnsi="仿宋_GB2312" w:eastAsia="仿宋_GB2312" w:cs="仿宋_GB2312"/>
                <w:color w:val="auto"/>
                <w:kern w:val="0"/>
                <w:szCs w:val="21"/>
                <w:u w:val="single"/>
              </w:rPr>
              <w:t xml:space="preserve"> </w:t>
            </w:r>
            <w:r>
              <w:rPr>
                <w:rFonts w:hint="eastAsia" w:ascii="仿宋_GB2312" w:hAnsi="仿宋_GB2312" w:eastAsia="仿宋_GB2312" w:cs="仿宋_GB2312"/>
                <w:color w:val="auto"/>
                <w:kern w:val="0"/>
                <w:szCs w:val="21"/>
              </w:rPr>
              <w:t>元</w:t>
            </w:r>
          </w:p>
          <w:p>
            <w:pPr>
              <w:pStyle w:val="6"/>
              <w:rPr>
                <w:rFonts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2.投标保证金到账时间：</w:t>
            </w:r>
            <w:r>
              <w:rPr>
                <w:rFonts w:hint="eastAsia" w:ascii="仿宋_GB2312" w:hAnsi="仿宋_GB2312" w:eastAsia="仿宋_GB2312" w:cs="仿宋_GB2312"/>
                <w:color w:val="auto"/>
                <w:szCs w:val="21"/>
                <w:u w:val="single"/>
              </w:rPr>
              <w:t>递交投标文件截止时间前</w:t>
            </w:r>
          </w:p>
          <w:p>
            <w:pPr>
              <w:pStyle w:val="6"/>
              <w:rPr>
                <w:rFonts w:ascii="仿宋_GB2312" w:hAnsi="仿宋_GB2312" w:eastAsia="仿宋_GB2312" w:cs="仿宋_GB2312"/>
                <w:color w:val="auto"/>
                <w:kern w:val="0"/>
                <w:szCs w:val="21"/>
                <w:u w:val="single"/>
              </w:rPr>
            </w:pPr>
            <w:r>
              <w:rPr>
                <w:rFonts w:hint="eastAsia" w:ascii="仿宋_GB2312" w:hAnsi="仿宋_GB2312" w:eastAsia="仿宋_GB2312" w:cs="仿宋_GB2312"/>
                <w:color w:val="auto"/>
                <w:szCs w:val="21"/>
              </w:rPr>
              <w:t xml:space="preserve">3.投标保证金缴纳方式：现金（支票）或银行保函或担保机构的保函或保险机构的保单。   </w:t>
            </w:r>
          </w:p>
          <w:p>
            <w:pPr>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若采用现金或支票时，必须从投标人的基本账户开户银行一次性汇入以下账号：</w:t>
            </w:r>
          </w:p>
          <w:p>
            <w:pP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保证金收款人银行信息如下：</w:t>
            </w:r>
          </w:p>
          <w:p>
            <w:pP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开 户 名：</w:t>
            </w:r>
            <w:r>
              <w:rPr>
                <w:rFonts w:hint="eastAsia" w:ascii="仿宋_GB2312" w:hAnsi="仿宋_GB2312" w:eastAsia="仿宋_GB2312" w:cs="仿宋_GB2312"/>
                <w:color w:val="auto"/>
                <w:kern w:val="0"/>
                <w:szCs w:val="21"/>
                <w:u w:val="single"/>
                <w:lang w:val="en-US" w:eastAsia="zh-CN"/>
              </w:rPr>
              <w:t>/</w:t>
            </w:r>
          </w:p>
          <w:p>
            <w:pP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开 户 行：</w:t>
            </w:r>
            <w:r>
              <w:rPr>
                <w:rFonts w:hint="eastAsia" w:ascii="仿宋_GB2312" w:hAnsi="仿宋_GB2312" w:eastAsia="仿宋_GB2312" w:cs="仿宋_GB2312"/>
                <w:color w:val="auto"/>
                <w:kern w:val="0"/>
                <w:szCs w:val="21"/>
                <w:u w:val="single"/>
                <w:lang w:val="en-US" w:eastAsia="zh-CN"/>
              </w:rPr>
              <w:t>/</w:t>
            </w:r>
            <w:r>
              <w:rPr>
                <w:rFonts w:hint="eastAsia" w:ascii="仿宋_GB2312" w:hAnsi="仿宋_GB2312" w:eastAsia="仿宋_GB2312" w:cs="仿宋_GB2312"/>
                <w:color w:val="auto"/>
                <w:szCs w:val="21"/>
              </w:rPr>
              <w:t xml:space="preserve"> </w:t>
            </w:r>
          </w:p>
          <w:p>
            <w:pPr>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账    号：</w:t>
            </w:r>
            <w:r>
              <w:rPr>
                <w:rFonts w:hint="eastAsia" w:ascii="仿宋_GB2312" w:hAnsi="仿宋_GB2312" w:eastAsia="仿宋_GB2312" w:cs="仿宋_GB2312"/>
                <w:color w:val="auto"/>
                <w:kern w:val="0"/>
                <w:szCs w:val="21"/>
                <w:u w:val="single"/>
                <w:lang w:val="en-US" w:eastAsia="zh-CN"/>
              </w:rPr>
              <w:t>/</w:t>
            </w:r>
            <w:r>
              <w:rPr>
                <w:rFonts w:hint="eastAsia" w:ascii="仿宋_GB2312" w:hAnsi="仿宋_GB2312" w:eastAsia="仿宋_GB2312" w:cs="仿宋_GB2312"/>
                <w:color w:val="auto"/>
                <w:szCs w:val="21"/>
              </w:rPr>
              <w:t xml:space="preserve"> </w:t>
            </w:r>
          </w:p>
          <w:p>
            <w:pPr>
              <w:pStyle w:val="24"/>
              <w:ind w:firstLine="0"/>
              <w:rPr>
                <w:rFonts w:ascii="仿宋_GB2312" w:hAnsi="仿宋_GB2312" w:eastAsia="仿宋_GB2312" w:cs="仿宋_GB2312"/>
                <w:color w:val="auto"/>
                <w:spacing w:val="0"/>
                <w:kern w:val="2"/>
                <w:sz w:val="21"/>
                <w:szCs w:val="21"/>
              </w:rPr>
            </w:pPr>
            <w:r>
              <w:rPr>
                <w:rFonts w:hint="eastAsia" w:ascii="仿宋_GB2312" w:hAnsi="仿宋_GB2312" w:eastAsia="仿宋_GB2312" w:cs="仿宋_GB2312"/>
                <w:color w:val="auto"/>
                <w:sz w:val="21"/>
                <w:szCs w:val="21"/>
              </w:rPr>
              <w:t xml:space="preserve">   </w:t>
            </w:r>
            <w:r>
              <w:rPr>
                <w:rFonts w:hint="eastAsia" w:ascii="仿宋_GB2312" w:hAnsi="仿宋_GB2312" w:eastAsia="仿宋_GB2312" w:cs="仿宋_GB2312"/>
                <w:color w:val="auto"/>
                <w:spacing w:val="0"/>
                <w:kern w:val="2"/>
                <w:sz w:val="21"/>
                <w:szCs w:val="21"/>
              </w:rPr>
              <w:t>若采用银行保函时，出具保函的银行级别：必须由投标人的基本账户开户银行开具，若基本账户开户银行不能开具，可由上级银行开具并附相关证明材料，否则视为无效。其扫描件应装订在投标文件中，</w:t>
            </w:r>
            <w:r>
              <w:rPr>
                <w:rFonts w:hint="eastAsia" w:ascii="仿宋_GB2312" w:hAnsi="仿宋_GB2312" w:eastAsia="仿宋_GB2312" w:cs="仿宋_GB2312"/>
                <w:b/>
                <w:bCs/>
                <w:color w:val="auto"/>
                <w:spacing w:val="0"/>
                <w:kern w:val="2"/>
                <w:sz w:val="21"/>
                <w:szCs w:val="21"/>
              </w:rPr>
              <w:t>原件应派专人在递交投标文件截止时间前送达并密封提交给招标人</w:t>
            </w:r>
            <w:r>
              <w:rPr>
                <w:rFonts w:hint="eastAsia" w:ascii="仿宋_GB2312" w:hAnsi="仿宋_GB2312" w:eastAsia="仿宋_GB2312" w:cs="仿宋_GB2312"/>
                <w:color w:val="auto"/>
                <w:spacing w:val="0"/>
                <w:kern w:val="2"/>
                <w:sz w:val="21"/>
                <w:szCs w:val="21"/>
              </w:rPr>
              <w:t>。</w:t>
            </w:r>
          </w:p>
          <w:p>
            <w:pPr>
              <w:pStyle w:val="25"/>
              <w:rPr>
                <w:color w:val="auto"/>
              </w:rPr>
            </w:pPr>
            <w:r>
              <w:rPr>
                <w:rFonts w:hint="eastAsia" w:ascii="仿宋_GB2312" w:hAnsi="仿宋_GB2312" w:eastAsia="仿宋_GB2312" w:cs="仿宋_GB2312"/>
                <w:color w:val="auto"/>
                <w:szCs w:val="21"/>
              </w:rPr>
              <w:t>若采用担保机构的保函或保险机构的保单时，其扫描件应装订在投标文件中，</w:t>
            </w:r>
            <w:r>
              <w:rPr>
                <w:rFonts w:hint="eastAsia" w:ascii="仿宋_GB2312" w:hAnsi="仿宋_GB2312" w:eastAsia="仿宋_GB2312" w:cs="仿宋_GB2312"/>
                <w:b/>
                <w:bCs/>
                <w:color w:val="auto"/>
                <w:szCs w:val="21"/>
              </w:rPr>
              <w:t>原件应派专人在递交投标文件截止时间前送达并密封提交给招标人</w:t>
            </w:r>
            <w:r>
              <w:rPr>
                <w:rFonts w:hint="eastAsia" w:ascii="仿宋_GB2312" w:hAnsi="仿宋_GB2312" w:eastAsia="仿宋_GB2312" w:cs="仿宋_GB2312"/>
                <w:color w:val="auto"/>
                <w:szCs w:val="21"/>
              </w:rPr>
              <w:t>。</w:t>
            </w:r>
          </w:p>
          <w:p>
            <w:pPr>
              <w:rPr>
                <w:rFonts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4.其它：</w:t>
            </w:r>
            <w:r>
              <w:rPr>
                <w:rFonts w:hint="eastAsia" w:ascii="仿宋_GB2312" w:hAnsi="仿宋_GB2312" w:eastAsia="仿宋_GB2312" w:cs="仿宋_GB2312"/>
                <w:color w:val="auto"/>
                <w:szCs w:val="21"/>
                <w:u w:val="single"/>
              </w:rPr>
              <w:t xml:space="preserve">  / 。 </w:t>
            </w:r>
          </w:p>
          <w:p>
            <w:pPr>
              <w:rPr>
                <w:rFonts w:ascii="仿宋_GB2312" w:hAnsi="仿宋_GB2312" w:eastAsia="仿宋_GB2312" w:cs="仿宋_GB2312"/>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70" w:type="dxa"/>
            <w:tcBorders>
              <w:tl2br w:val="nil"/>
              <w:tr2bl w:val="nil"/>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16.1</w:t>
            </w:r>
          </w:p>
        </w:tc>
        <w:tc>
          <w:tcPr>
            <w:tcW w:w="1562" w:type="dxa"/>
            <w:tcBorders>
              <w:tl2br w:val="nil"/>
              <w:tr2bl w:val="nil"/>
            </w:tcBorders>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投标有效期</w:t>
            </w:r>
          </w:p>
        </w:tc>
        <w:tc>
          <w:tcPr>
            <w:tcW w:w="6173" w:type="dxa"/>
            <w:tcBorders>
              <w:tl2br w:val="nil"/>
              <w:tr2bl w:val="nil"/>
            </w:tcBorders>
            <w:vAlign w:val="center"/>
          </w:tcPr>
          <w:p>
            <w:pPr>
              <w:pStyle w:val="6"/>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u w:val="single"/>
              </w:rPr>
              <w:t xml:space="preserve">  90  </w:t>
            </w:r>
            <w:r>
              <w:rPr>
                <w:rFonts w:hint="eastAsia" w:ascii="仿宋_GB2312" w:hAnsi="仿宋_GB2312" w:eastAsia="仿宋_GB2312" w:cs="仿宋_GB2312"/>
                <w:color w:val="auto"/>
                <w:kern w:val="0"/>
                <w:szCs w:val="21"/>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70" w:type="dxa"/>
            <w:tcBorders>
              <w:tl2br w:val="nil"/>
              <w:tr2bl w:val="nil"/>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17.1</w:t>
            </w:r>
          </w:p>
        </w:tc>
        <w:tc>
          <w:tcPr>
            <w:tcW w:w="1562" w:type="dxa"/>
            <w:tcBorders>
              <w:tl2br w:val="nil"/>
              <w:tr2bl w:val="nil"/>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szCs w:val="21"/>
              </w:rPr>
              <w:t>投标文件份数</w:t>
            </w:r>
          </w:p>
        </w:tc>
        <w:tc>
          <w:tcPr>
            <w:tcW w:w="6173" w:type="dxa"/>
            <w:tcBorders>
              <w:tl2br w:val="nil"/>
              <w:tr2bl w:val="nil"/>
            </w:tcBorders>
            <w:vAlign w:val="center"/>
          </w:tcPr>
          <w:p>
            <w:pPr>
              <w:widowControl/>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本项目应当在线提交电子投标文件。</w:t>
            </w:r>
          </w:p>
          <w:p>
            <w:pPr>
              <w:widowControl/>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递交地点：肇庆交通集团电子采购平台。</w:t>
            </w:r>
          </w:p>
          <w:p>
            <w:pPr>
              <w:pStyle w:val="24"/>
              <w:ind w:firstLine="0"/>
              <w:rPr>
                <w:rFonts w:ascii="仿宋_GB2312" w:hAnsi="仿宋_GB2312" w:eastAsia="仿宋_GB2312" w:cs="仿宋_GB2312"/>
                <w:color w:val="auto"/>
                <w:sz w:val="21"/>
                <w:szCs w:val="21"/>
              </w:rPr>
            </w:pPr>
            <w:r>
              <w:rPr>
                <w:rFonts w:hint="eastAsia" w:ascii="仿宋_GB2312" w:hAnsi="仿宋_GB2312" w:eastAsia="仿宋_GB2312" w:cs="仿宋_GB2312"/>
                <w:b/>
                <w:bCs/>
                <w:color w:val="auto"/>
                <w:spacing w:val="0"/>
                <w:kern w:val="2"/>
                <w:sz w:val="21"/>
                <w:szCs w:val="21"/>
              </w:rPr>
              <w:t>上传的电子投标文件与递交的纸质投标文件不一致的，以电子投标文件为准。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70" w:type="dxa"/>
            <w:tcBorders>
              <w:tl2br w:val="nil"/>
              <w:tr2bl w:val="nil"/>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19.1</w:t>
            </w:r>
          </w:p>
        </w:tc>
        <w:tc>
          <w:tcPr>
            <w:tcW w:w="1562" w:type="dxa"/>
            <w:tcBorders>
              <w:tl2br w:val="nil"/>
              <w:tr2bl w:val="nil"/>
            </w:tcBorders>
            <w:vAlign w:val="center"/>
          </w:tcPr>
          <w:p>
            <w:pPr>
              <w:widowControl/>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递交投标文件截止时间、地点：</w:t>
            </w:r>
          </w:p>
        </w:tc>
        <w:tc>
          <w:tcPr>
            <w:tcW w:w="6173" w:type="dxa"/>
            <w:tcBorders>
              <w:tl2br w:val="nil"/>
              <w:tr2bl w:val="nil"/>
            </w:tcBorders>
            <w:vAlign w:val="center"/>
          </w:tcPr>
          <w:p>
            <w:pPr>
              <w:widowControl/>
              <w:rPr>
                <w:rFonts w:ascii="仿宋_GB2312" w:hAnsi="仿宋_GB2312" w:eastAsia="仿宋_GB2312" w:cs="仿宋_GB2312"/>
                <w:color w:val="auto"/>
                <w:kern w:val="0"/>
                <w:szCs w:val="21"/>
                <w:u w:val="single"/>
              </w:rPr>
            </w:pPr>
            <w:r>
              <w:rPr>
                <w:rFonts w:hint="eastAsia" w:ascii="仿宋_GB2312" w:hAnsi="仿宋_GB2312" w:eastAsia="仿宋_GB2312" w:cs="仿宋_GB2312"/>
                <w:color w:val="auto"/>
                <w:kern w:val="0"/>
                <w:szCs w:val="21"/>
              </w:rPr>
              <w:t>详见招标公告，以招标公告规定时间、地点为准。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70" w:type="dxa"/>
            <w:tcBorders>
              <w:tl2br w:val="nil"/>
              <w:tr2bl w:val="nil"/>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21.1</w:t>
            </w:r>
          </w:p>
        </w:tc>
        <w:tc>
          <w:tcPr>
            <w:tcW w:w="1562" w:type="dxa"/>
            <w:tcBorders>
              <w:tl2br w:val="nil"/>
              <w:tr2bl w:val="nil"/>
            </w:tcBorders>
            <w:vAlign w:val="center"/>
          </w:tcPr>
          <w:p>
            <w:pPr>
              <w:widowControl/>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投标文件开启会时间、地点：</w:t>
            </w:r>
          </w:p>
        </w:tc>
        <w:tc>
          <w:tcPr>
            <w:tcW w:w="6173" w:type="dxa"/>
            <w:tcBorders>
              <w:tl2br w:val="nil"/>
              <w:tr2bl w:val="nil"/>
            </w:tcBorders>
            <w:vAlign w:val="center"/>
          </w:tcPr>
          <w:p>
            <w:pPr>
              <w:widowControl/>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详见招标公告，以招标公告规定时间、地点为准。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70" w:type="dxa"/>
            <w:tcBorders>
              <w:tl2br w:val="nil"/>
              <w:tr2bl w:val="nil"/>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22.2</w:t>
            </w:r>
          </w:p>
        </w:tc>
        <w:tc>
          <w:tcPr>
            <w:tcW w:w="1562" w:type="dxa"/>
            <w:tcBorders>
              <w:tl2br w:val="nil"/>
              <w:tr2bl w:val="nil"/>
            </w:tcBorders>
            <w:vAlign w:val="center"/>
          </w:tcPr>
          <w:p>
            <w:pPr>
              <w:widowControl/>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评审小组组成</w:t>
            </w:r>
          </w:p>
        </w:tc>
        <w:tc>
          <w:tcPr>
            <w:tcW w:w="6173" w:type="dxa"/>
            <w:tcBorders>
              <w:tl2br w:val="nil"/>
              <w:tr2bl w:val="nil"/>
            </w:tcBorders>
            <w:vAlign w:val="center"/>
          </w:tcPr>
          <w:p>
            <w:pPr>
              <w:widowControl/>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评审小组由招标人代表</w:t>
            </w:r>
            <w:r>
              <w:rPr>
                <w:rFonts w:hint="eastAsia" w:ascii="仿宋_GB2312" w:hAnsi="仿宋_GB2312" w:eastAsia="仿宋_GB2312" w:cs="仿宋_GB2312"/>
                <w:color w:val="auto"/>
                <w:szCs w:val="21"/>
                <w:u w:val="single"/>
              </w:rPr>
              <w:t xml:space="preserve"> 1 </w:t>
            </w:r>
            <w:r>
              <w:rPr>
                <w:rFonts w:hint="eastAsia" w:ascii="仿宋_GB2312" w:hAnsi="仿宋_GB2312" w:eastAsia="仿宋_GB2312" w:cs="仿宋_GB2312"/>
                <w:color w:val="auto"/>
                <w:szCs w:val="21"/>
              </w:rPr>
              <w:t>人，评审专家</w:t>
            </w:r>
            <w:r>
              <w:rPr>
                <w:rFonts w:hint="eastAsia" w:ascii="仿宋_GB2312" w:hAnsi="仿宋_GB2312" w:eastAsia="仿宋_GB2312" w:cs="仿宋_GB2312"/>
                <w:color w:val="auto"/>
                <w:szCs w:val="21"/>
                <w:u w:val="single"/>
              </w:rPr>
              <w:t xml:space="preserve"> 4 </w:t>
            </w:r>
            <w:r>
              <w:rPr>
                <w:rFonts w:hint="eastAsia" w:ascii="仿宋_GB2312" w:hAnsi="仿宋_GB2312" w:eastAsia="仿宋_GB2312" w:cs="仿宋_GB2312"/>
                <w:color w:val="auto"/>
                <w:szCs w:val="21"/>
              </w:rPr>
              <w:t>人，共</w:t>
            </w:r>
            <w:r>
              <w:rPr>
                <w:rFonts w:hint="eastAsia" w:ascii="仿宋_GB2312" w:hAnsi="仿宋_GB2312" w:eastAsia="仿宋_GB2312" w:cs="仿宋_GB2312"/>
                <w:color w:val="auto"/>
                <w:szCs w:val="21"/>
                <w:u w:val="single"/>
              </w:rPr>
              <w:t xml:space="preserve"> 5 </w:t>
            </w:r>
            <w:r>
              <w:rPr>
                <w:rFonts w:hint="eastAsia" w:ascii="仿宋_GB2312" w:hAnsi="仿宋_GB2312" w:eastAsia="仿宋_GB2312" w:cs="仿宋_GB2312"/>
                <w:color w:val="auto"/>
                <w:szCs w:val="21"/>
              </w:rPr>
              <w:t>人组成。</w:t>
            </w:r>
          </w:p>
          <w:p>
            <w:pPr>
              <w:pStyle w:val="18"/>
              <w:ind w:firstLine="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评审专家从肇庆市交通集团有限公司</w:t>
            </w:r>
            <w:r>
              <w:rPr>
                <w:rFonts w:hint="eastAsia" w:ascii="仿宋_GB2312" w:hAnsi="仿宋_GB2312" w:eastAsia="仿宋_GB2312" w:cs="仿宋_GB2312"/>
                <w:b/>
                <w:bCs/>
                <w:color w:val="auto"/>
                <w:szCs w:val="21"/>
              </w:rPr>
              <w:t>综合类</w:t>
            </w:r>
            <w:r>
              <w:rPr>
                <w:rFonts w:hint="eastAsia" w:ascii="仿宋_GB2312" w:hAnsi="仿宋_GB2312" w:eastAsia="仿宋_GB2312" w:cs="仿宋_GB2312"/>
                <w:color w:val="auto"/>
                <w:szCs w:val="21"/>
              </w:rPr>
              <w:t>专家库中抽取。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70" w:type="dxa"/>
            <w:tcBorders>
              <w:tl2br w:val="nil"/>
              <w:tr2bl w:val="nil"/>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27.1</w:t>
            </w:r>
          </w:p>
        </w:tc>
        <w:tc>
          <w:tcPr>
            <w:tcW w:w="1562" w:type="dxa"/>
            <w:tcBorders>
              <w:tl2br w:val="nil"/>
              <w:tr2bl w:val="nil"/>
            </w:tcBorders>
            <w:vAlign w:val="center"/>
          </w:tcPr>
          <w:p>
            <w:pPr>
              <w:widowControl/>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评审方法</w:t>
            </w:r>
          </w:p>
        </w:tc>
        <w:tc>
          <w:tcPr>
            <w:tcW w:w="6173" w:type="dxa"/>
            <w:tcBorders>
              <w:tl2br w:val="nil"/>
              <w:tr2bl w:val="nil"/>
            </w:tcBorders>
            <w:vAlign w:val="center"/>
          </w:tcPr>
          <w:p>
            <w:pPr>
              <w:widowControl/>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sym w:font="Wingdings 2" w:char="00A3"/>
            </w:r>
            <w:r>
              <w:rPr>
                <w:rFonts w:hint="eastAsia" w:ascii="仿宋_GB2312" w:hAnsi="仿宋_GB2312" w:eastAsia="仿宋_GB2312" w:cs="仿宋_GB2312"/>
                <w:color w:val="auto"/>
                <w:kern w:val="0"/>
                <w:szCs w:val="21"/>
              </w:rPr>
              <w:t>最低评标价法</w:t>
            </w:r>
          </w:p>
          <w:p>
            <w:pPr>
              <w:widowControl/>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sym w:font="Wingdings 2" w:char="0052"/>
            </w:r>
            <w:r>
              <w:rPr>
                <w:rFonts w:hint="eastAsia" w:ascii="仿宋_GB2312" w:hAnsi="仿宋_GB2312" w:eastAsia="仿宋_GB2312" w:cs="仿宋_GB2312"/>
                <w:color w:val="auto"/>
                <w:kern w:val="0"/>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70" w:type="dxa"/>
            <w:tcBorders>
              <w:tl2br w:val="nil"/>
              <w:tr2bl w:val="nil"/>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29.1</w:t>
            </w:r>
          </w:p>
        </w:tc>
        <w:tc>
          <w:tcPr>
            <w:tcW w:w="1562" w:type="dxa"/>
            <w:tcBorders>
              <w:tl2br w:val="nil"/>
              <w:tr2bl w:val="nil"/>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推荐中标候选人的数量</w:t>
            </w:r>
          </w:p>
        </w:tc>
        <w:tc>
          <w:tcPr>
            <w:tcW w:w="6173" w:type="dxa"/>
            <w:tcBorders>
              <w:tl2br w:val="nil"/>
              <w:tr2bl w:val="nil"/>
            </w:tcBorders>
            <w:vAlign w:val="center"/>
          </w:tcPr>
          <w:p>
            <w:pPr>
              <w:widowControl/>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u w:val="single"/>
              </w:rPr>
              <w:t xml:space="preserve"> 3 </w:t>
            </w:r>
            <w:r>
              <w:rPr>
                <w:rFonts w:hint="eastAsia" w:ascii="仿宋_GB2312" w:hAnsi="仿宋_GB2312" w:eastAsia="仿宋_GB2312" w:cs="仿宋_GB2312"/>
                <w:color w:val="auto"/>
                <w:kern w:val="0"/>
                <w:szCs w:val="21"/>
              </w:rPr>
              <w:t>家/标段。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70" w:type="dxa"/>
            <w:tcBorders>
              <w:tl2br w:val="nil"/>
              <w:tr2bl w:val="nil"/>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31</w:t>
            </w:r>
          </w:p>
        </w:tc>
        <w:tc>
          <w:tcPr>
            <w:tcW w:w="1562" w:type="dxa"/>
            <w:tcBorders>
              <w:tl2br w:val="nil"/>
              <w:tr2bl w:val="nil"/>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确定中标人的方式</w:t>
            </w:r>
          </w:p>
        </w:tc>
        <w:tc>
          <w:tcPr>
            <w:tcW w:w="6173" w:type="dxa"/>
            <w:tcBorders>
              <w:tl2br w:val="nil"/>
              <w:tr2bl w:val="nil"/>
            </w:tcBorders>
            <w:vAlign w:val="center"/>
          </w:tcPr>
          <w:p>
            <w:pPr>
              <w:widowControl/>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中标人数量：</w:t>
            </w:r>
            <w:r>
              <w:rPr>
                <w:rFonts w:hint="eastAsia" w:ascii="仿宋_GB2312" w:hAnsi="仿宋_GB2312" w:eastAsia="仿宋_GB2312" w:cs="仿宋_GB2312"/>
                <w:color w:val="auto"/>
                <w:kern w:val="0"/>
                <w:szCs w:val="21"/>
                <w:u w:val="single"/>
              </w:rPr>
              <w:t xml:space="preserve"> 1</w:t>
            </w:r>
            <w:r>
              <w:rPr>
                <w:rFonts w:hint="eastAsia" w:ascii="仿宋_GB2312" w:hAnsi="仿宋_GB2312" w:eastAsia="仿宋_GB2312" w:cs="仿宋_GB2312"/>
                <w:color w:val="auto"/>
                <w:kern w:val="0"/>
                <w:szCs w:val="21"/>
                <w:u w:val="single"/>
                <w:lang w:val="en-US" w:eastAsia="zh-CN"/>
              </w:rPr>
              <w:t xml:space="preserve"> </w:t>
            </w:r>
            <w:r>
              <w:rPr>
                <w:rFonts w:hint="eastAsia" w:ascii="仿宋_GB2312" w:hAnsi="仿宋_GB2312" w:eastAsia="仿宋_GB2312" w:cs="仿宋_GB2312"/>
                <w:color w:val="auto"/>
                <w:kern w:val="0"/>
                <w:szCs w:val="21"/>
                <w:u w:val="single"/>
              </w:rPr>
              <w:t>家</w:t>
            </w:r>
          </w:p>
          <w:p>
            <w:pPr>
              <w:widowControl/>
              <w:rPr>
                <w:rFonts w:ascii="仿宋_GB2312" w:hAnsi="仿宋_GB2312" w:eastAsia="仿宋_GB2312" w:cs="仿宋_GB2312"/>
                <w:color w:val="auto"/>
                <w:kern w:val="0"/>
                <w:szCs w:val="21"/>
                <w:u w:val="single"/>
              </w:rPr>
            </w:pPr>
            <w:r>
              <w:rPr>
                <w:rFonts w:hint="eastAsia" w:ascii="仿宋_GB2312" w:hAnsi="仿宋_GB2312" w:eastAsia="仿宋_GB2312" w:cs="仿宋_GB2312"/>
                <w:color w:val="auto"/>
                <w:kern w:val="0"/>
                <w:szCs w:val="21"/>
              </w:rPr>
              <w:sym w:font="Wingdings 2" w:char="00A3"/>
            </w:r>
            <w:r>
              <w:rPr>
                <w:rFonts w:hint="eastAsia" w:ascii="仿宋_GB2312" w:hAnsi="仿宋_GB2312" w:eastAsia="仿宋_GB2312" w:cs="仿宋_GB2312"/>
                <w:color w:val="auto"/>
                <w:kern w:val="0"/>
                <w:szCs w:val="21"/>
              </w:rPr>
              <w:t>招标人委托评审小组直接确定中标人</w:t>
            </w:r>
          </w:p>
          <w:p>
            <w:pPr>
              <w:widowControl/>
              <w:rPr>
                <w:rFonts w:ascii="仿宋_GB2312" w:hAnsi="仿宋_GB2312" w:eastAsia="仿宋_GB2312" w:cs="仿宋_GB2312"/>
                <w:color w:val="auto"/>
                <w:kern w:val="0"/>
                <w:szCs w:val="21"/>
                <w:u w:val="single"/>
              </w:rPr>
            </w:pPr>
            <w:r>
              <w:rPr>
                <w:rFonts w:hint="eastAsia" w:ascii="仿宋_GB2312" w:hAnsi="仿宋_GB2312" w:eastAsia="仿宋_GB2312" w:cs="仿宋_GB2312"/>
                <w:color w:val="auto"/>
                <w:kern w:val="0"/>
                <w:szCs w:val="21"/>
              </w:rPr>
              <w:sym w:font="Wingdings 2" w:char="0052"/>
            </w:r>
            <w:r>
              <w:rPr>
                <w:rFonts w:hint="eastAsia" w:ascii="仿宋_GB2312" w:hAnsi="仿宋_GB2312" w:eastAsia="仿宋_GB2312" w:cs="仿宋_GB2312"/>
                <w:color w:val="auto"/>
                <w:kern w:val="0"/>
                <w:szCs w:val="21"/>
              </w:rPr>
              <w:t>招标人确定中标人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70" w:type="dxa"/>
            <w:tcBorders>
              <w:tl2br w:val="nil"/>
              <w:tr2bl w:val="nil"/>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35.1</w:t>
            </w:r>
          </w:p>
        </w:tc>
        <w:tc>
          <w:tcPr>
            <w:tcW w:w="1562" w:type="dxa"/>
            <w:tcBorders>
              <w:tl2br w:val="nil"/>
              <w:tr2bl w:val="nil"/>
            </w:tcBorders>
            <w:vAlign w:val="center"/>
          </w:tcPr>
          <w:p>
            <w:pPr>
              <w:shd w:val="clear" w:color="auto" w:fill="FFFFFF"/>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szCs w:val="21"/>
                <w:highlight w:val="none"/>
              </w:rPr>
              <w:t>履约保证金</w:t>
            </w:r>
          </w:p>
        </w:tc>
        <w:tc>
          <w:tcPr>
            <w:tcW w:w="6173" w:type="dxa"/>
            <w:tcBorders>
              <w:tl2br w:val="nil"/>
              <w:tr2bl w:val="nil"/>
            </w:tcBorders>
            <w:vAlign w:val="center"/>
          </w:tcPr>
          <w:p>
            <w:pPr>
              <w:widowControl/>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sym w:font="Wingdings 2" w:char="0052"/>
            </w:r>
            <w:r>
              <w:rPr>
                <w:rFonts w:hint="eastAsia" w:ascii="仿宋_GB2312" w:hAnsi="仿宋_GB2312" w:eastAsia="仿宋_GB2312" w:cs="仿宋_GB2312"/>
                <w:color w:val="auto"/>
                <w:kern w:val="0"/>
                <w:szCs w:val="21"/>
                <w:highlight w:val="none"/>
              </w:rPr>
              <w:t>本项目不收取履约保证金</w:t>
            </w:r>
          </w:p>
          <w:p>
            <w:pPr>
              <w:shd w:val="clear" w:color="auto" w:fill="FFFFFF"/>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sym w:font="Wingdings 2" w:char="00A3"/>
            </w:r>
            <w:r>
              <w:rPr>
                <w:rFonts w:hint="eastAsia" w:ascii="仿宋_GB2312" w:hAnsi="仿宋_GB2312" w:eastAsia="仿宋_GB2312" w:cs="仿宋_GB2312"/>
                <w:color w:val="auto"/>
                <w:szCs w:val="21"/>
                <w:highlight w:val="none"/>
              </w:rPr>
              <w:t>本项目收取履约保证金</w:t>
            </w:r>
          </w:p>
          <w:p>
            <w:pPr>
              <w:shd w:val="clear" w:color="auto" w:fill="FFFFFF"/>
              <w:ind w:firstLine="210" w:firstLineChars="10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履约保证金金额：</w:t>
            </w:r>
            <w:r>
              <w:rPr>
                <w:rFonts w:hint="eastAsia" w:ascii="仿宋_GB2312" w:hAnsi="仿宋_GB2312" w:eastAsia="仿宋_GB2312" w:cs="仿宋_GB2312"/>
                <w:color w:val="auto"/>
                <w:kern w:val="0"/>
                <w:szCs w:val="21"/>
                <w:highlight w:val="none"/>
              </w:rPr>
              <w:t>合同价的</w:t>
            </w:r>
            <w:r>
              <w:rPr>
                <w:rFonts w:hint="eastAsia" w:ascii="仿宋_GB2312" w:hAnsi="仿宋_GB2312" w:eastAsia="仿宋_GB2312" w:cs="仿宋_GB2312"/>
                <w:color w:val="auto"/>
                <w:kern w:val="0"/>
                <w:szCs w:val="21"/>
                <w:highlight w:val="none"/>
                <w:u w:val="single"/>
              </w:rPr>
              <w:t xml:space="preserve">  /  %</w:t>
            </w:r>
            <w:r>
              <w:rPr>
                <w:rFonts w:hint="eastAsia" w:ascii="仿宋_GB2312" w:hAnsi="仿宋_GB2312" w:eastAsia="仿宋_GB2312" w:cs="仿宋_GB2312"/>
                <w:color w:val="auto"/>
                <w:kern w:val="0"/>
                <w:szCs w:val="21"/>
                <w:highlight w:val="none"/>
              </w:rPr>
              <w:t>。</w:t>
            </w:r>
          </w:p>
          <w:p>
            <w:pPr>
              <w:shd w:val="clear" w:color="auto" w:fill="FFFFFF"/>
              <w:ind w:firstLine="210" w:firstLineChars="10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履约保证金递交时间：</w:t>
            </w:r>
            <w:r>
              <w:rPr>
                <w:rFonts w:hint="eastAsia" w:ascii="仿宋_GB2312" w:hAnsi="仿宋_GB2312" w:eastAsia="仿宋_GB2312" w:cs="仿宋_GB2312"/>
                <w:color w:val="auto"/>
                <w:kern w:val="0"/>
                <w:szCs w:val="21"/>
                <w:highlight w:val="none"/>
                <w:u w:val="single"/>
              </w:rPr>
              <w:t xml:space="preserve">  /  </w:t>
            </w:r>
            <w:r>
              <w:rPr>
                <w:rFonts w:hint="eastAsia" w:ascii="仿宋_GB2312" w:hAnsi="仿宋_GB2312" w:eastAsia="仿宋_GB2312" w:cs="仿宋_GB2312"/>
                <w:color w:val="auto"/>
                <w:szCs w:val="21"/>
                <w:highlight w:val="none"/>
              </w:rPr>
              <w:t xml:space="preserve"> </w:t>
            </w:r>
          </w:p>
          <w:p>
            <w:pPr>
              <w:shd w:val="clear" w:color="auto" w:fill="FFFFFF"/>
              <w:ind w:firstLine="210" w:firstLineChars="10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履约保证金递交方式：□保函   □支票  □电汇</w:t>
            </w:r>
          </w:p>
          <w:p>
            <w:pPr>
              <w:shd w:val="clear" w:color="auto" w:fill="FFFFFF"/>
              <w:ind w:firstLine="420" w:firstLineChars="20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账户信息：</w:t>
            </w:r>
          </w:p>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开 户 名：</w:t>
            </w:r>
            <w:r>
              <w:rPr>
                <w:rFonts w:hint="eastAsia" w:ascii="仿宋_GB2312" w:hAnsi="仿宋_GB2312" w:eastAsia="仿宋_GB2312" w:cs="仿宋_GB2312"/>
                <w:color w:val="auto"/>
                <w:kern w:val="0"/>
                <w:szCs w:val="21"/>
                <w:highlight w:val="none"/>
                <w:u w:val="single"/>
              </w:rPr>
              <w:t>/</w:t>
            </w:r>
            <w:r>
              <w:rPr>
                <w:rFonts w:hint="eastAsia" w:ascii="仿宋_GB2312" w:hAnsi="仿宋_GB2312" w:eastAsia="仿宋_GB2312" w:cs="仿宋_GB2312"/>
                <w:color w:val="auto"/>
                <w:szCs w:val="21"/>
                <w:highlight w:val="none"/>
              </w:rPr>
              <w:t xml:space="preserve"> </w:t>
            </w:r>
          </w:p>
          <w:p>
            <w:pPr>
              <w:ind w:firstLine="42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开 户 行：</w:t>
            </w:r>
            <w:r>
              <w:rPr>
                <w:rFonts w:hint="eastAsia" w:ascii="仿宋_GB2312" w:hAnsi="仿宋_GB2312" w:eastAsia="仿宋_GB2312" w:cs="仿宋_GB2312"/>
                <w:color w:val="auto"/>
                <w:kern w:val="0"/>
                <w:szCs w:val="21"/>
                <w:highlight w:val="none"/>
                <w:u w:val="single"/>
              </w:rPr>
              <w:t>/</w:t>
            </w:r>
            <w:r>
              <w:rPr>
                <w:rFonts w:hint="eastAsia" w:ascii="仿宋_GB2312" w:hAnsi="仿宋_GB2312" w:eastAsia="仿宋_GB2312" w:cs="仿宋_GB2312"/>
                <w:color w:val="auto"/>
                <w:szCs w:val="21"/>
                <w:highlight w:val="none"/>
              </w:rPr>
              <w:t xml:space="preserve"> </w:t>
            </w:r>
          </w:p>
          <w:p>
            <w:pPr>
              <w:ind w:firstLine="420"/>
              <w:rPr>
                <w:rFonts w:ascii="仿宋_GB2312" w:hAnsi="仿宋_GB2312" w:eastAsia="仿宋_GB2312" w:cs="仿宋_GB2312"/>
                <w:color w:val="auto"/>
                <w:kern w:val="0"/>
                <w:szCs w:val="21"/>
                <w:highlight w:val="none"/>
                <w:u w:val="single"/>
              </w:rPr>
            </w:pPr>
            <w:r>
              <w:rPr>
                <w:rFonts w:hint="eastAsia" w:ascii="仿宋_GB2312" w:hAnsi="仿宋_GB2312" w:eastAsia="仿宋_GB2312" w:cs="仿宋_GB2312"/>
                <w:color w:val="auto"/>
                <w:szCs w:val="21"/>
                <w:highlight w:val="none"/>
              </w:rPr>
              <w:t>账    号：</w:t>
            </w:r>
            <w:r>
              <w:rPr>
                <w:rFonts w:hint="eastAsia" w:ascii="仿宋_GB2312" w:hAnsi="仿宋_GB2312" w:eastAsia="仿宋_GB2312" w:cs="仿宋_GB2312"/>
                <w:color w:val="auto"/>
                <w:kern w:val="0"/>
                <w:szCs w:val="21"/>
                <w:highlight w:val="none"/>
                <w:u w:val="single"/>
              </w:rPr>
              <w:t>/</w:t>
            </w:r>
          </w:p>
          <w:p>
            <w:pPr>
              <w:ind w:firstLine="420"/>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xml:space="preserve"> </w:t>
            </w:r>
            <w:r>
              <w:rPr>
                <w:rFonts w:hint="eastAsia" w:ascii="仿宋_GB2312" w:hAnsi="仿宋_GB2312" w:eastAsia="仿宋_GB2312" w:cs="仿宋_GB2312"/>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70" w:type="dxa"/>
            <w:tcBorders>
              <w:tl2br w:val="nil"/>
              <w:tr2bl w:val="nil"/>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38.3</w:t>
            </w:r>
          </w:p>
        </w:tc>
        <w:tc>
          <w:tcPr>
            <w:tcW w:w="1562" w:type="dxa"/>
            <w:tcBorders>
              <w:tl2br w:val="nil"/>
              <w:tr2bl w:val="nil"/>
            </w:tcBorders>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质疑</w:t>
            </w:r>
          </w:p>
        </w:tc>
        <w:tc>
          <w:tcPr>
            <w:tcW w:w="6173" w:type="dxa"/>
            <w:tcBorders>
              <w:tl2br w:val="nil"/>
              <w:tr2bl w:val="nil"/>
            </w:tcBorders>
            <w:vAlign w:val="center"/>
          </w:tcPr>
          <w:p>
            <w:pPr>
              <w:widowControl/>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一、投标人认为自己的权益受到损害的，可以在知道或者应知其权益受到损害之日起七个工作日内，向招标人提出质疑。</w:t>
            </w:r>
          </w:p>
          <w:p>
            <w:pPr>
              <w:widowControl/>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1.接收质疑函的方式：接收加盖单位公章的书面质疑函</w:t>
            </w:r>
          </w:p>
          <w:p>
            <w:pPr>
              <w:widowControl/>
              <w:ind w:firstLine="420" w:firstLineChars="200"/>
              <w:rPr>
                <w:rFonts w:hint="eastAsia" w:ascii="仿宋_GB2312" w:hAnsi="仿宋_GB2312" w:eastAsia="仿宋_GB2312" w:cs="仿宋_GB2312"/>
                <w:color w:val="auto"/>
                <w:kern w:val="0"/>
                <w:szCs w:val="21"/>
                <w:highlight w:val="none"/>
                <w:u w:val="single"/>
                <w:lang w:eastAsia="zh-CN"/>
              </w:rPr>
            </w:pPr>
            <w:r>
              <w:rPr>
                <w:rFonts w:hint="eastAsia" w:ascii="仿宋_GB2312" w:hAnsi="仿宋_GB2312" w:eastAsia="仿宋_GB2312" w:cs="仿宋_GB2312"/>
                <w:color w:val="auto"/>
                <w:szCs w:val="21"/>
                <w:highlight w:val="none"/>
              </w:rPr>
              <w:t>联系单位：</w:t>
            </w:r>
            <w:r>
              <w:rPr>
                <w:rFonts w:hint="eastAsia" w:ascii="仿宋_GB2312" w:hAnsi="仿宋_GB2312" w:eastAsia="仿宋_GB2312" w:cs="仿宋_GB2312"/>
                <w:color w:val="auto"/>
                <w:kern w:val="0"/>
                <w:szCs w:val="21"/>
                <w:highlight w:val="none"/>
                <w:u w:val="single"/>
                <w:lang w:eastAsia="zh-CN"/>
              </w:rPr>
              <w:t>肇庆市港口投资发展有限公司</w:t>
            </w:r>
          </w:p>
          <w:p>
            <w:pPr>
              <w:widowControl/>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联 系 人：</w:t>
            </w:r>
            <w:r>
              <w:rPr>
                <w:rFonts w:hint="eastAsia" w:ascii="仿宋_GB2312" w:hAnsi="仿宋_GB2312" w:eastAsia="仿宋_GB2312" w:cs="仿宋_GB2312"/>
                <w:color w:val="auto"/>
                <w:kern w:val="0"/>
                <w:szCs w:val="21"/>
                <w:highlight w:val="none"/>
                <w:u w:val="single"/>
                <w:lang w:val="en-US" w:eastAsia="zh-CN"/>
              </w:rPr>
              <w:t>李小姐</w:t>
            </w:r>
          </w:p>
          <w:p>
            <w:pPr>
              <w:widowControl/>
              <w:ind w:firstLine="420" w:firstLineChars="200"/>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联系电话：</w:t>
            </w:r>
            <w:r>
              <w:rPr>
                <w:rFonts w:hint="eastAsia" w:ascii="仿宋_GB2312" w:hAnsi="仿宋_GB2312" w:eastAsia="仿宋_GB2312" w:cs="仿宋_GB2312"/>
                <w:color w:val="auto"/>
                <w:kern w:val="0"/>
                <w:szCs w:val="21"/>
                <w:highlight w:val="none"/>
                <w:u w:val="single"/>
                <w:lang w:eastAsia="zh-CN"/>
              </w:rPr>
              <w:t>13450184517</w:t>
            </w:r>
          </w:p>
          <w:p>
            <w:pPr>
              <w:widowControl/>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通讯地址：</w:t>
            </w:r>
            <w:r>
              <w:rPr>
                <w:rFonts w:hint="eastAsia" w:ascii="仿宋_GB2312" w:hAnsi="仿宋_GB2312" w:eastAsia="仿宋_GB2312" w:cs="仿宋_GB2312"/>
                <w:color w:val="auto"/>
                <w:kern w:val="0"/>
                <w:szCs w:val="21"/>
                <w:highlight w:val="none"/>
                <w:u w:val="single"/>
              </w:rPr>
              <w:t>肇庆市端州区站前西路肇庆市交通集团</w:t>
            </w:r>
          </w:p>
          <w:p>
            <w:pPr>
              <w:widowControl/>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2.质疑函的内容、格式：质疑须以书面形式提出，列明质疑事项及相关依据，联系人、联系电话、传真、详细地址、邮编等基本信息并加盖公章。格式自拟。</w:t>
            </w:r>
          </w:p>
          <w:p>
            <w:pPr>
              <w:pStyle w:val="6"/>
              <w:rPr>
                <w:rFonts w:ascii="仿宋_GB2312" w:hAnsi="仿宋_GB2312" w:eastAsia="仿宋_GB2312" w:cs="仿宋_GB2312"/>
                <w:color w:val="auto"/>
                <w:szCs w:val="21"/>
              </w:rPr>
            </w:pPr>
            <w:r>
              <w:rPr>
                <w:rFonts w:hint="eastAsia" w:ascii="仿宋_GB2312" w:hAnsi="仿宋_GB2312" w:eastAsia="仿宋_GB2312" w:cs="仿宋_GB2312"/>
                <w:color w:val="auto"/>
                <w:szCs w:val="21"/>
                <w:highlight w:val="none"/>
              </w:rPr>
              <w:t>二、投标人应在质疑期内一次性针对同一采购程序环节提出质疑，否则针对再次提出质疑将不予接收。（</w:t>
            </w:r>
            <w:r>
              <w:rPr>
                <w:rFonts w:hint="eastAsia" w:ascii="仿宋_GB2312" w:hAnsi="仿宋_GB2312" w:eastAsia="仿宋_GB2312" w:cs="仿宋_GB2312"/>
                <w:color w:val="auto"/>
                <w:szCs w:val="21"/>
              </w:rPr>
              <w:t>采购程序环节分为：招标公告、招标文件、招标过程、中标结果）</w:t>
            </w:r>
          </w:p>
          <w:p>
            <w:pPr>
              <w:pStyle w:val="6"/>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三、监督机构：肇庆市交通集团有限公司纪检监察室</w:t>
            </w:r>
          </w:p>
          <w:p>
            <w:pPr>
              <w:pStyle w:val="6"/>
              <w:rPr>
                <w:rFonts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监督电话：0758-2909855</w:t>
            </w:r>
          </w:p>
        </w:tc>
      </w:tr>
    </w:tbl>
    <w:p>
      <w:pPr>
        <w:rPr>
          <w:rFonts w:ascii="仿宋_GB2312" w:hAnsi="仿宋_GB2312" w:eastAsia="仿宋_GB2312" w:cs="仿宋_GB2312"/>
          <w:color w:val="auto"/>
        </w:rPr>
      </w:pPr>
      <w:r>
        <w:rPr>
          <w:rFonts w:hint="eastAsia" w:ascii="仿宋_GB2312" w:hAnsi="仿宋_GB2312" w:eastAsia="仿宋_GB2312" w:cs="仿宋_GB2312"/>
          <w:color w:val="auto"/>
        </w:rPr>
        <w:t>注：表格中“</w:t>
      </w:r>
      <w:r>
        <w:rPr>
          <w:rFonts w:hint="eastAsia" w:ascii="仿宋_GB2312" w:hAnsi="仿宋_GB2312" w:eastAsia="仿宋_GB2312" w:cs="仿宋_GB2312"/>
          <w:color w:val="auto"/>
        </w:rPr>
        <w:sym w:font="Wingdings 2" w:char="0052"/>
      </w:r>
      <w:r>
        <w:rPr>
          <w:rFonts w:hint="eastAsia" w:ascii="仿宋_GB2312" w:hAnsi="仿宋_GB2312" w:eastAsia="仿宋_GB2312" w:cs="仿宋_GB2312"/>
          <w:color w:val="auto"/>
        </w:rPr>
        <w:t>”项或“■”项为被选中项。</w:t>
      </w:r>
    </w:p>
    <w:p>
      <w:pPr>
        <w:pStyle w:val="3"/>
        <w:adjustRightInd w:val="0"/>
        <w:snapToGrid w:val="0"/>
        <w:spacing w:before="0" w:after="0" w:line="360" w:lineRule="auto"/>
        <w:jc w:val="left"/>
        <w:rPr>
          <w:rFonts w:ascii="仿宋_GB2312" w:hAnsi="仿宋_GB2312" w:eastAsia="仿宋_GB2312" w:cs="仿宋_GB2312"/>
          <w:color w:val="auto"/>
          <w:sz w:val="21"/>
          <w:szCs w:val="21"/>
        </w:rPr>
      </w:pPr>
    </w:p>
    <w:p>
      <w:pPr>
        <w:pStyle w:val="3"/>
        <w:adjustRightInd w:val="0"/>
        <w:snapToGrid w:val="0"/>
        <w:spacing w:before="0" w:after="0" w:line="360" w:lineRule="auto"/>
        <w:jc w:val="left"/>
        <w:rPr>
          <w:rFonts w:ascii="仿宋_GB2312" w:hAnsi="仿宋_GB2312" w:eastAsia="仿宋_GB2312" w:cs="仿宋_GB2312"/>
          <w:color w:val="auto"/>
          <w:sz w:val="21"/>
          <w:szCs w:val="21"/>
        </w:rPr>
      </w:pPr>
    </w:p>
    <w:p>
      <w:pPr>
        <w:pStyle w:val="3"/>
        <w:adjustRightInd w:val="0"/>
        <w:snapToGrid w:val="0"/>
        <w:spacing w:before="0" w:after="0" w:line="360" w:lineRule="auto"/>
        <w:jc w:val="left"/>
        <w:rPr>
          <w:rFonts w:ascii="仿宋_GB2312" w:hAnsi="仿宋_GB2312" w:eastAsia="仿宋_GB2312" w:cs="仿宋_GB2312"/>
          <w:color w:val="auto"/>
          <w:sz w:val="21"/>
          <w:szCs w:val="21"/>
        </w:rPr>
      </w:pPr>
    </w:p>
    <w:p>
      <w:pPr>
        <w:pStyle w:val="3"/>
        <w:adjustRightInd w:val="0"/>
        <w:snapToGrid w:val="0"/>
        <w:spacing w:before="0" w:after="0" w:line="360" w:lineRule="auto"/>
        <w:jc w:val="left"/>
        <w:rPr>
          <w:rFonts w:ascii="仿宋_GB2312" w:hAnsi="仿宋_GB2312" w:eastAsia="仿宋_GB2312" w:cs="仿宋_GB2312"/>
          <w:color w:val="auto"/>
          <w:sz w:val="21"/>
          <w:szCs w:val="21"/>
        </w:rPr>
      </w:pPr>
    </w:p>
    <w:p>
      <w:pPr>
        <w:pStyle w:val="3"/>
        <w:adjustRightInd w:val="0"/>
        <w:snapToGrid w:val="0"/>
        <w:spacing w:before="0" w:after="0" w:line="360" w:lineRule="auto"/>
        <w:jc w:val="left"/>
        <w:rPr>
          <w:rFonts w:ascii="仿宋_GB2312" w:hAnsi="仿宋_GB2312" w:eastAsia="仿宋_GB2312" w:cs="仿宋_GB2312"/>
          <w:color w:val="auto"/>
          <w:sz w:val="21"/>
          <w:szCs w:val="21"/>
        </w:rPr>
      </w:pPr>
    </w:p>
    <w:p>
      <w:pPr>
        <w:pStyle w:val="3"/>
        <w:adjustRightInd w:val="0"/>
        <w:snapToGrid w:val="0"/>
        <w:spacing w:before="0" w:after="0" w:line="360" w:lineRule="auto"/>
        <w:jc w:val="left"/>
        <w:rPr>
          <w:rFonts w:ascii="仿宋_GB2312" w:hAnsi="仿宋_GB2312" w:eastAsia="仿宋_GB2312" w:cs="仿宋_GB2312"/>
          <w:color w:val="auto"/>
          <w:sz w:val="21"/>
          <w:szCs w:val="21"/>
        </w:rPr>
      </w:pPr>
    </w:p>
    <w:p>
      <w:pPr>
        <w:pStyle w:val="3"/>
        <w:adjustRightInd w:val="0"/>
        <w:snapToGrid w:val="0"/>
        <w:spacing w:before="0" w:after="0" w:line="360" w:lineRule="auto"/>
        <w:jc w:val="center"/>
        <w:rPr>
          <w:rFonts w:ascii="仿宋_GB2312" w:hAnsi="仿宋_GB2312" w:eastAsia="仿宋_GB2312" w:cs="仿宋_GB2312"/>
          <w:color w:val="auto"/>
        </w:rPr>
      </w:pPr>
      <w:r>
        <w:rPr>
          <w:rFonts w:hint="eastAsia" w:ascii="仿宋_GB2312" w:hAnsi="仿宋_GB2312" w:eastAsia="仿宋_GB2312" w:cs="仿宋_GB2312"/>
          <w:color w:val="auto"/>
          <w:sz w:val="21"/>
          <w:szCs w:val="21"/>
        </w:rPr>
        <w:br w:type="page"/>
      </w:r>
      <w:r>
        <w:rPr>
          <w:rFonts w:hint="eastAsia" w:ascii="仿宋_GB2312" w:hAnsi="仿宋_GB2312" w:eastAsia="仿宋_GB2312" w:cs="仿宋_GB2312"/>
          <w:color w:val="auto"/>
          <w:sz w:val="28"/>
          <w:szCs w:val="28"/>
        </w:rPr>
        <w:t>二 总则</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1.招标人及投标人</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b/>
          <w:bCs/>
          <w:color w:val="auto"/>
          <w:szCs w:val="21"/>
        </w:rPr>
        <w:t>1.1</w:t>
      </w:r>
      <w:r>
        <w:rPr>
          <w:rFonts w:hint="eastAsia" w:ascii="仿宋_GB2312" w:hAnsi="仿宋_GB2312" w:eastAsia="仿宋_GB2312" w:cs="仿宋_GB2312"/>
          <w:color w:val="auto"/>
          <w:szCs w:val="21"/>
        </w:rPr>
        <w:t>招标人：本项目招标人见投标人须知表1.1款。</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b/>
          <w:bCs/>
          <w:color w:val="auto"/>
          <w:szCs w:val="21"/>
        </w:rPr>
        <w:t>1.2</w:t>
      </w:r>
      <w:r>
        <w:rPr>
          <w:rFonts w:hint="eastAsia" w:ascii="仿宋_GB2312" w:hAnsi="仿宋_GB2312" w:eastAsia="仿宋_GB2312" w:cs="仿宋_GB2312"/>
          <w:color w:val="auto"/>
          <w:szCs w:val="21"/>
        </w:rPr>
        <w:t>投标人：是指向招标人提供货物、工程或者服务的法人。</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1.2.1本项目的投标人须满足的资格要求：见招标公告</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1.2.2本项目的投标人不得存在的情形：见招标公告</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1.2.3对投标人的其他资格要求见投标人须知表1.2.3款。</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1.2.4以招标人认可的方式获得了本项目的招标文件。</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b/>
          <w:bCs/>
          <w:color w:val="auto"/>
          <w:szCs w:val="21"/>
        </w:rPr>
        <w:t>1.3</w:t>
      </w:r>
      <w:r>
        <w:rPr>
          <w:rFonts w:hint="eastAsia" w:ascii="仿宋_GB2312" w:hAnsi="仿宋_GB2312" w:eastAsia="仿宋_GB2312" w:cs="仿宋_GB2312"/>
          <w:color w:val="auto"/>
          <w:szCs w:val="21"/>
        </w:rPr>
        <w:t>如投标人须知表1.3款中允许联合体参加招标活动的，对联合体规定如下：</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1.3.1两个以上投标人可以组成一个联合体，以一个投标人的身份参加招标活动。</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1.3.2联合体各方均应符合本总则1.2.1款和1.2.2款规定的条件。</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1.3.3联合体各方应签订共同参加招标活动协议，明确约定联合体各方承担的工作和相应的责任。</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1.3.4联合体中有同类资质的投标人按照联合体分工承担相同工作的，按照较低的资质等级确定联合体的资质等级。</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1.3.5以联合体形式参加招标活动的，联合体各方不得再单独参加或者与其他投标人另外组成联合体参加本项目招标活动，否则投标文件将被认定为</w:t>
      </w:r>
      <w:r>
        <w:rPr>
          <w:rFonts w:hint="eastAsia" w:ascii="仿宋_GB2312" w:hAnsi="仿宋_GB2312" w:eastAsia="仿宋_GB2312" w:cs="仿宋_GB2312"/>
          <w:b/>
          <w:bCs/>
          <w:color w:val="auto"/>
          <w:szCs w:val="21"/>
        </w:rPr>
        <w:t>废标</w:t>
      </w:r>
      <w:r>
        <w:rPr>
          <w:rFonts w:hint="eastAsia" w:ascii="仿宋_GB2312" w:hAnsi="仿宋_GB2312" w:eastAsia="仿宋_GB2312" w:cs="仿宋_GB2312"/>
          <w:color w:val="auto"/>
          <w:szCs w:val="21"/>
        </w:rPr>
        <w:t>。</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（1）两个以上的法人或者其他组织可以组成一个联合体，以一个投标人的身份共同参加招标活动。</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（2）联合体中标的，联合体各方应共同与招标人签订合同，就合同约定的事项对招标人承担连带责任。</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1.3.6对联合体参加招标活动的其他资格要求见投标人须知表1.3.6款。</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b/>
          <w:bCs/>
          <w:color w:val="auto"/>
          <w:szCs w:val="21"/>
        </w:rPr>
        <w:t>1.4</w:t>
      </w:r>
      <w:r>
        <w:rPr>
          <w:rFonts w:hint="eastAsia" w:ascii="仿宋_GB2312" w:hAnsi="仿宋_GB2312" w:eastAsia="仿宋_GB2312" w:cs="仿宋_GB2312"/>
          <w:color w:val="auto"/>
          <w:szCs w:val="21"/>
        </w:rPr>
        <w:t>投标人在招标过程中不得向招标人提供、给予任何有价值的物品，影响其正常决策行为。</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2.资金来源</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2.1本项目的招标人已获得足以支付本次招标活动后所签订的合同项下的资金。</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2.2项目标段最高限价见投标人须知表2.2款。</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2.3投标人报价超过招标文件规定的该标段最高限价的，其投标文件将被认定为</w:t>
      </w:r>
      <w:r>
        <w:rPr>
          <w:rFonts w:hint="eastAsia" w:ascii="仿宋_GB2312" w:hAnsi="仿宋_GB2312" w:eastAsia="仿宋_GB2312" w:cs="仿宋_GB2312"/>
          <w:b/>
          <w:bCs/>
          <w:color w:val="auto"/>
          <w:szCs w:val="21"/>
        </w:rPr>
        <w:t>废标</w:t>
      </w:r>
      <w:r>
        <w:rPr>
          <w:rFonts w:hint="eastAsia" w:ascii="仿宋_GB2312" w:hAnsi="仿宋_GB2312" w:eastAsia="仿宋_GB2312" w:cs="仿宋_GB2312"/>
          <w:color w:val="auto"/>
          <w:szCs w:val="21"/>
        </w:rPr>
        <w:t>。</w:t>
      </w:r>
    </w:p>
    <w:p>
      <w:pPr>
        <w:adjustRightInd w:val="0"/>
        <w:snapToGrid w:val="0"/>
        <w:spacing w:line="360" w:lineRule="auto"/>
        <w:rPr>
          <w:rFonts w:ascii="仿宋_GB2312" w:hAnsi="仿宋_GB2312" w:eastAsia="仿宋_GB2312" w:cs="仿宋_GB2312"/>
          <w:b/>
          <w:bCs/>
          <w:color w:val="auto"/>
          <w:szCs w:val="21"/>
        </w:rPr>
      </w:pPr>
      <w:bookmarkStart w:id="6" w:name="_Toc266951048"/>
      <w:r>
        <w:rPr>
          <w:rFonts w:hint="eastAsia" w:ascii="仿宋_GB2312" w:hAnsi="仿宋_GB2312" w:eastAsia="仿宋_GB2312" w:cs="仿宋_GB2312"/>
          <w:b/>
          <w:bCs/>
          <w:color w:val="auto"/>
          <w:szCs w:val="21"/>
        </w:rPr>
        <w:t>3.语言文字</w:t>
      </w:r>
      <w:bookmarkEnd w:id="6"/>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除专用术语外，与询价响应有关的语言均使用中文。必要时专用术语应附有中文注释。对不同文字文本投标文件的解释发生异议的，以中文文本为准。</w:t>
      </w:r>
    </w:p>
    <w:p>
      <w:pPr>
        <w:adjustRightInd w:val="0"/>
        <w:snapToGrid w:val="0"/>
        <w:spacing w:line="360" w:lineRule="auto"/>
        <w:rPr>
          <w:rFonts w:ascii="仿宋_GB2312" w:hAnsi="仿宋_GB2312" w:eastAsia="仿宋_GB2312" w:cs="仿宋_GB2312"/>
          <w:b/>
          <w:bCs/>
          <w:color w:val="auto"/>
          <w:szCs w:val="21"/>
        </w:rPr>
      </w:pPr>
      <w:bookmarkStart w:id="7" w:name="_1.8_计量单位"/>
      <w:bookmarkEnd w:id="7"/>
      <w:bookmarkStart w:id="8" w:name="_Toc266951049"/>
      <w:r>
        <w:rPr>
          <w:rFonts w:hint="eastAsia" w:ascii="仿宋_GB2312" w:hAnsi="仿宋_GB2312" w:eastAsia="仿宋_GB2312" w:cs="仿宋_GB2312"/>
          <w:b/>
          <w:bCs/>
          <w:color w:val="auto"/>
          <w:szCs w:val="21"/>
        </w:rPr>
        <w:t>4.计量单位</w:t>
      </w:r>
      <w:bookmarkEnd w:id="8"/>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投标文件中所使用的计量单位，应采用中华人民共和国法定计量单位。</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5.投标费用</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不论投标的结果如何，投标人应承担所有与本次招标活动有关的费用。</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6.现场考察、询价前答疑会</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6.1</w:t>
      </w:r>
      <w:r>
        <w:rPr>
          <w:color w:val="auto"/>
        </w:rPr>
        <w:fldChar w:fldCharType="begin"/>
      </w:r>
      <w:r>
        <w:rPr>
          <w:color w:val="auto"/>
        </w:rPr>
        <w:instrText xml:space="preserve"> HYPERLINK \l "_踏勘现场" </w:instrText>
      </w:r>
      <w:r>
        <w:rPr>
          <w:color w:val="auto"/>
        </w:rPr>
        <w:fldChar w:fldCharType="separate"/>
      </w:r>
      <w:r>
        <w:rPr>
          <w:rFonts w:hint="eastAsia" w:ascii="仿宋_GB2312" w:hAnsi="仿宋_GB2312" w:eastAsia="仿宋_GB2312" w:cs="仿宋_GB2312"/>
          <w:color w:val="auto"/>
          <w:szCs w:val="21"/>
        </w:rPr>
        <w:t>投标人须知表</w:t>
      </w:r>
      <w:r>
        <w:rPr>
          <w:rFonts w:hint="eastAsia" w:ascii="仿宋_GB2312" w:hAnsi="仿宋_GB2312" w:eastAsia="仿宋_GB2312" w:cs="仿宋_GB2312"/>
          <w:color w:val="auto"/>
          <w:szCs w:val="21"/>
        </w:rPr>
        <w:fldChar w:fldCharType="end"/>
      </w:r>
      <w:r>
        <w:rPr>
          <w:rFonts w:hint="eastAsia" w:ascii="仿宋_GB2312" w:hAnsi="仿宋_GB2312" w:eastAsia="仿宋_GB2312" w:cs="仿宋_GB2312"/>
          <w:color w:val="auto"/>
          <w:szCs w:val="21"/>
        </w:rPr>
        <w:t>6.1款规定组织现场考察或答疑会的，招标人按规定的时间、地点组织投标人现场考察或答疑会，或者在招标文件规定的时间内以书面形式通知所有获取招标文件的潜在投标人。</w:t>
      </w:r>
    </w:p>
    <w:p>
      <w:pPr>
        <w:adjustRightInd w:val="0"/>
        <w:snapToGrid w:val="0"/>
        <w:spacing w:line="360" w:lineRule="auto"/>
        <w:rPr>
          <w:rFonts w:ascii="仿宋_GB2312" w:hAnsi="仿宋_GB2312" w:eastAsia="仿宋_GB2312" w:cs="仿宋_GB2312"/>
          <w:b/>
          <w:bCs/>
          <w:color w:val="auto"/>
          <w:szCs w:val="21"/>
        </w:rPr>
      </w:pPr>
      <w:bookmarkStart w:id="9" w:name="_1.10_投标预备会"/>
      <w:bookmarkEnd w:id="9"/>
      <w:r>
        <w:rPr>
          <w:rFonts w:hint="eastAsia" w:ascii="仿宋_GB2312" w:hAnsi="仿宋_GB2312" w:eastAsia="仿宋_GB2312" w:cs="仿宋_GB2312"/>
          <w:color w:val="auto"/>
          <w:szCs w:val="21"/>
        </w:rPr>
        <w:t>6.2</w:t>
      </w:r>
      <w:r>
        <w:rPr>
          <w:rFonts w:hint="eastAsia" w:ascii="仿宋_GB2312" w:hAnsi="仿宋_GB2312" w:eastAsia="仿宋_GB2312" w:cs="仿宋_GB2312"/>
          <w:color w:val="auto"/>
          <w:kern w:val="0"/>
          <w:szCs w:val="21"/>
        </w:rPr>
        <w:t>由于未参加现场考察或答疑会而导致对项目实际情况不了解，影响技术文件编制、</w:t>
      </w:r>
      <w:r>
        <w:rPr>
          <w:color w:val="auto"/>
        </w:rPr>
        <w:fldChar w:fldCharType="begin"/>
      </w:r>
      <w:r>
        <w:rPr>
          <w:color w:val="auto"/>
        </w:rP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rPr>
          <w:color w:val="auto"/>
        </w:rPr>
        <w:fldChar w:fldCharType="separate"/>
      </w:r>
      <w:r>
        <w:rPr>
          <w:rFonts w:hint="eastAsia" w:ascii="仿宋_GB2312" w:hAnsi="仿宋_GB2312" w:eastAsia="仿宋_GB2312" w:cs="仿宋_GB2312"/>
          <w:color w:val="auto"/>
          <w:kern w:val="0"/>
          <w:szCs w:val="21"/>
        </w:rPr>
        <w:t>投标报价</w:t>
      </w:r>
      <w:r>
        <w:rPr>
          <w:rFonts w:hint="eastAsia" w:ascii="仿宋_GB2312" w:hAnsi="仿宋_GB2312" w:eastAsia="仿宋_GB2312" w:cs="仿宋_GB2312"/>
          <w:color w:val="auto"/>
          <w:kern w:val="0"/>
          <w:szCs w:val="21"/>
        </w:rPr>
        <w:fldChar w:fldCharType="end"/>
      </w:r>
      <w:r>
        <w:rPr>
          <w:rFonts w:hint="eastAsia" w:ascii="仿宋_GB2312" w:hAnsi="仿宋_GB2312" w:eastAsia="仿宋_GB2312" w:cs="仿宋_GB2312"/>
          <w:color w:val="auto"/>
          <w:kern w:val="0"/>
          <w:szCs w:val="21"/>
        </w:rPr>
        <w:t>准确性、综合因素响应不全面等问题的，由投标人自行承担相应后果。</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6.3现场考察及参加答疑会所发生的费用及一切责任由投标人自行承担。</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7.分包</w:t>
      </w:r>
    </w:p>
    <w:p>
      <w:pPr>
        <w:pStyle w:val="24"/>
        <w:ind w:firstLine="0"/>
        <w:rPr>
          <w:rFonts w:ascii="仿宋_GB2312" w:hAnsi="仿宋_GB2312" w:eastAsia="仿宋_GB2312" w:cs="仿宋_GB2312"/>
          <w:color w:val="auto"/>
          <w:spacing w:val="0"/>
          <w:kern w:val="2"/>
          <w:sz w:val="21"/>
          <w:szCs w:val="21"/>
        </w:rPr>
      </w:pPr>
      <w:r>
        <w:rPr>
          <w:rFonts w:hint="eastAsia" w:ascii="仿宋_GB2312" w:hAnsi="仿宋_GB2312" w:eastAsia="仿宋_GB2312" w:cs="仿宋_GB2312"/>
          <w:color w:val="auto"/>
          <w:spacing w:val="0"/>
          <w:kern w:val="2"/>
          <w:sz w:val="21"/>
          <w:szCs w:val="21"/>
        </w:rPr>
        <w:t>7.1投标人在中标后将所取得项目的部分非主体、非关键性工作进行分包的，应符合以下规定：</w:t>
      </w:r>
    </w:p>
    <w:p>
      <w:pPr>
        <w:pStyle w:val="25"/>
        <w:rPr>
          <w:rFonts w:ascii="仿宋_GB2312" w:hAnsi="仿宋_GB2312" w:eastAsia="仿宋_GB2312" w:cs="仿宋_GB2312"/>
          <w:color w:val="auto"/>
          <w:szCs w:val="21"/>
        </w:rPr>
      </w:pPr>
      <w:r>
        <w:rPr>
          <w:rFonts w:hint="eastAsia" w:ascii="仿宋_GB2312" w:hAnsi="仿宋_GB2312" w:eastAsia="仿宋_GB2312" w:cs="仿宋_GB2312"/>
          <w:color w:val="auto"/>
          <w:szCs w:val="21"/>
        </w:rPr>
        <w:t>7.1.1 分包内容要求：招标人允许分包的专项工作（如有）应在投标人须知前附表中载明。</w:t>
      </w:r>
    </w:p>
    <w:p>
      <w:pPr>
        <w:pStyle w:val="25"/>
        <w:rPr>
          <w:rFonts w:ascii="仿宋_GB2312" w:hAnsi="仿宋_GB2312" w:eastAsia="仿宋_GB2312" w:cs="仿宋_GB2312"/>
          <w:color w:val="auto"/>
          <w:szCs w:val="21"/>
        </w:rPr>
      </w:pPr>
      <w:r>
        <w:rPr>
          <w:rFonts w:hint="eastAsia" w:ascii="仿宋_GB2312" w:hAnsi="仿宋_GB2312" w:eastAsia="仿宋_GB2312" w:cs="仿宋_GB2312"/>
          <w:color w:val="auto"/>
          <w:szCs w:val="21"/>
        </w:rPr>
        <w:t>7.1.2 接受分包的第三人资格要求：分包人的资格能力应与其分包工作的标准和规模相适应，且具备投标人须知前附表中规定的资格条件。</w:t>
      </w:r>
    </w:p>
    <w:p>
      <w:pPr>
        <w:pStyle w:val="25"/>
        <w:rPr>
          <w:rFonts w:ascii="仿宋_GB2312" w:hAnsi="仿宋_GB2312" w:eastAsia="仿宋_GB2312" w:cs="仿宋_GB2312"/>
          <w:color w:val="auto"/>
          <w:szCs w:val="21"/>
        </w:rPr>
      </w:pPr>
      <w:r>
        <w:rPr>
          <w:rFonts w:hint="eastAsia" w:ascii="仿宋_GB2312" w:hAnsi="仿宋_GB2312" w:eastAsia="仿宋_GB2312" w:cs="仿宋_GB2312"/>
          <w:color w:val="auto"/>
          <w:szCs w:val="21"/>
        </w:rPr>
        <w:t>7.1.3 投标人如有分包计划，应按第六章“投标文件格式”的要求填写“拟分包项目情况表”。</w:t>
      </w:r>
    </w:p>
    <w:p>
      <w:pPr>
        <w:pStyle w:val="25"/>
        <w:ind w:firstLine="0" w:firstLineChars="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7.2 中标人不得向他人转让中标项目，接受分包的人不得再次分包。投标人就分包项目向招标人负责，接受分包的人就分包项目承担连带责任。</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8.适用规定</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本项目的招标人、投标人、评审小组的相关行为均受肇庆市交通集团有限公司关于采购有关规章制度的约束，其权利受到上述规章制度的保护。</w:t>
      </w:r>
    </w:p>
    <w:p>
      <w:pPr>
        <w:pStyle w:val="3"/>
        <w:adjustRightInd w:val="0"/>
        <w:snapToGrid w:val="0"/>
        <w:spacing w:before="0" w:after="0"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 招标文件</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9.招标文件构成</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9.1招标文件共五章，内容如下:</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第一章 招标公告</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第二章 投标人须知</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第三章 招标人需求</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第四章 评审方法</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第五章 合同条款及格式</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第六章 投标文件内容及格式</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9.2投标人应认真阅读招标文件所有的事项、格式、条款等。如投标人没有按照招标文件要求提交资料，或者投标文件没有对招标文件做出实质性响应，可能导致其投标文件被认定为</w:t>
      </w:r>
      <w:r>
        <w:rPr>
          <w:rFonts w:hint="eastAsia" w:ascii="仿宋_GB2312" w:hAnsi="仿宋_GB2312" w:eastAsia="仿宋_GB2312" w:cs="仿宋_GB2312"/>
          <w:b/>
          <w:bCs/>
          <w:color w:val="auto"/>
          <w:szCs w:val="21"/>
        </w:rPr>
        <w:t>废标</w:t>
      </w:r>
      <w:r>
        <w:rPr>
          <w:rFonts w:hint="eastAsia" w:ascii="仿宋_GB2312" w:hAnsi="仿宋_GB2312" w:eastAsia="仿宋_GB2312" w:cs="仿宋_GB2312"/>
          <w:color w:val="auto"/>
          <w:szCs w:val="21"/>
        </w:rPr>
        <w:t>。</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9.3投标人获取招标文件后,投标人对招标文件提出疑问的，或要求招标人对招标文件进行澄清的，应当在投标文件递交截止之日3日前通过电子采购平台提出。在上述规定的时间之后对招标文件提出的疑问，招标人有权不予受理。</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10.招标文件的澄清与修改</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10.1 招标人可以对已发出的招标文件进行必要的澄清或者修改。澄清或者修改的内容可能影响投标文件编制的，应当在提交投标文件</w:t>
      </w:r>
      <w:r>
        <w:rPr>
          <w:rFonts w:hint="eastAsia" w:ascii="仿宋_GB2312" w:hAnsi="仿宋_GB2312" w:eastAsia="仿宋_GB2312" w:cs="仿宋_GB2312"/>
          <w:color w:val="auto"/>
          <w:szCs w:val="21"/>
          <w:highlight w:val="none"/>
        </w:rPr>
        <w:t>截止之日</w:t>
      </w:r>
      <w:r>
        <w:rPr>
          <w:rFonts w:hint="eastAsia" w:ascii="仿宋_GB2312" w:hAnsi="仿宋_GB2312" w:eastAsia="仿宋_GB2312" w:cs="仿宋_GB2312"/>
          <w:b/>
          <w:bCs/>
          <w:color w:val="auto"/>
          <w:szCs w:val="21"/>
          <w:highlight w:val="none"/>
        </w:rPr>
        <w:t>2</w:t>
      </w:r>
      <w:r>
        <w:rPr>
          <w:rFonts w:hint="eastAsia" w:ascii="仿宋_GB2312" w:hAnsi="仿宋_GB2312" w:eastAsia="仿宋_GB2312" w:cs="仿宋_GB2312"/>
          <w:color w:val="auto"/>
          <w:szCs w:val="21"/>
          <w:highlight w:val="none"/>
        </w:rPr>
        <w:t>日前，在</w:t>
      </w:r>
      <w:r>
        <w:rPr>
          <w:rFonts w:hint="eastAsia" w:ascii="仿宋_GB2312" w:hAnsi="仿宋_GB2312" w:eastAsia="仿宋_GB2312" w:cs="仿宋_GB2312"/>
          <w:color w:val="auto"/>
          <w:szCs w:val="21"/>
        </w:rPr>
        <w:t>电子采购平台发出澄清或修改文件，请已获取招标文件的投标人予以注意；不足2日的，应当顺延提交投标文件的截止时间。</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10.2澄清或者修改的内容为招标文件的组成部分，对所有招标文件的收受人具有约束力。投标人应通过电子采购平台自行下载澄清文件，无需向招标人回函确认。投标人应注意及时浏览电子采购平台发出的澄清，因投标人自身原因未及时获知澄清内容而导致的任何后果将由投标人自行承担。</w:t>
      </w:r>
    </w:p>
    <w:p>
      <w:pPr>
        <w:pStyle w:val="3"/>
        <w:adjustRightInd w:val="0"/>
        <w:snapToGrid w:val="0"/>
        <w:spacing w:before="0" w:after="0"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 投标文件的编制</w:t>
      </w:r>
    </w:p>
    <w:p>
      <w:pPr>
        <w:pStyle w:val="6"/>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11.投标范围</w:t>
      </w:r>
    </w:p>
    <w:p>
      <w:pPr>
        <w:pStyle w:val="6"/>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11.1项目有分标段的，投标人可对招标文件其中某一个标段或几个标段进行响应。具体要求详见招标公告。</w:t>
      </w:r>
    </w:p>
    <w:p>
      <w:pPr>
        <w:pStyle w:val="6"/>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11.2投标人应当对所响应标段招标文件中第三章“招标人需求”所列的所有内容进行响应，如仅响应标段中某一部分内容，其该标段投标文件将被认定为</w:t>
      </w:r>
      <w:r>
        <w:rPr>
          <w:rFonts w:hint="eastAsia" w:ascii="仿宋_GB2312" w:hAnsi="仿宋_GB2312" w:eastAsia="仿宋_GB2312" w:cs="仿宋_GB2312"/>
          <w:b/>
          <w:bCs/>
          <w:color w:val="auto"/>
          <w:szCs w:val="21"/>
        </w:rPr>
        <w:t>废标</w:t>
      </w:r>
      <w:r>
        <w:rPr>
          <w:rFonts w:hint="eastAsia" w:ascii="仿宋_GB2312" w:hAnsi="仿宋_GB2312" w:eastAsia="仿宋_GB2312" w:cs="仿宋_GB2312"/>
          <w:color w:val="auto"/>
          <w:szCs w:val="21"/>
        </w:rPr>
        <w:t>。</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11.3无论招标文件第三章“招标人需求”中是否要求，投标人所响应的货物、服务、工程均应符合国家强制性标准。</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12.投标文件构成</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12.1投标人应完整地按招标文件提供的投标文件格式及要求编写投标文件。如有必要，可以增加附页，作为投标文件的组成部分。因投标文件内容不完整所造成的损失由投标人承担。具体内容及格式见第六章“投标文件内容及格式”。投标人在评审过程中作出的符合法律法规和招标文件规定的澄清确认，构成投标文件的组成部分。</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12.2投标人应按招标文件提供的格式编写投标文件，并对其提交的投标文件的真实性、合法性承担法律责任。招标文件提供标准格式的按标准格式填列，未提供标准格式的可自行拟定。</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13.投标报价</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13.1所有响应均按人民币货币进行报价。</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13.2 投标价格</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13.2.1货物的投标价格应为该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13.2.2服务的投标价格应为实施和完成该服务的劳务费、技术服务费、仪器设备的使用和管理、保险、成本、利润、税金和按本工程实际需要的加班等一切费用，以及合同明示或暗示的所有责任、义务和一般风险。</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13.2.3工程的投标价格应为实施和完成合同工程所需的劳务、材料、机械、质检(自检)、安装、缺陷修复、管理、保险（含建筑工程一切险及第三者责任险）、税费、利润等费用，以及合同明示或暗示的所有责任、义务和一般风险。</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13.3投标人应按招标文件要求在相关表格中标明货物、服务、工程及伴随服务的单价和总价，并由法定代表人（其他组织的负责人）或其委托代理人签署。</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13.4投标人所报的各分项单价在合同履行过程中是</w:t>
      </w:r>
      <w:r>
        <w:rPr>
          <w:rFonts w:hint="eastAsia" w:ascii="仿宋_GB2312" w:hAnsi="仿宋_GB2312" w:eastAsia="仿宋_GB2312" w:cs="仿宋_GB2312"/>
          <w:b/>
          <w:bCs/>
          <w:color w:val="auto"/>
          <w:szCs w:val="21"/>
        </w:rPr>
        <w:t>固定不变的</w:t>
      </w:r>
      <w:r>
        <w:rPr>
          <w:rFonts w:hint="eastAsia" w:ascii="仿宋_GB2312" w:hAnsi="仿宋_GB2312" w:eastAsia="仿宋_GB2312" w:cs="仿宋_GB2312"/>
          <w:color w:val="auto"/>
          <w:szCs w:val="21"/>
        </w:rPr>
        <w:t>，不得以任何理由予以变更。</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13.5每个单项（分项）货物、服务、工程只能有一个投标报价。招标人不接受具有附加条件的报价。</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13.6除非招标文件另有规定，投标报价原则上精确到</w:t>
      </w:r>
      <w:r>
        <w:rPr>
          <w:rFonts w:hint="eastAsia" w:ascii="仿宋_GB2312" w:hAnsi="仿宋_GB2312" w:eastAsia="仿宋_GB2312" w:cs="仿宋_GB2312"/>
          <w:b/>
          <w:bCs/>
          <w:color w:val="auto"/>
          <w:szCs w:val="21"/>
        </w:rPr>
        <w:t>小数点后两位</w:t>
      </w:r>
      <w:r>
        <w:rPr>
          <w:rFonts w:hint="eastAsia" w:ascii="仿宋_GB2312" w:hAnsi="仿宋_GB2312" w:eastAsia="仿宋_GB2312" w:cs="仿宋_GB2312"/>
          <w:color w:val="auto"/>
          <w:szCs w:val="21"/>
        </w:rPr>
        <w:t>。</w:t>
      </w:r>
    </w:p>
    <w:p>
      <w:pPr>
        <w:adjustRightInd w:val="0"/>
        <w:snapToGrid w:val="0"/>
        <w:spacing w:line="360" w:lineRule="auto"/>
        <w:jc w:val="left"/>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14.投标保证金</w:t>
      </w:r>
    </w:p>
    <w:p>
      <w:pPr>
        <w:adjustRightInd w:val="0"/>
        <w:snapToGrid w:val="0"/>
        <w:spacing w:line="360" w:lineRule="auto"/>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14.1投标人应提交投标人须知表14.1款中规定的投标保证金，并作为其投标文件的一部分。</w:t>
      </w:r>
    </w:p>
    <w:p>
      <w:pPr>
        <w:adjustRightInd w:val="0"/>
        <w:snapToGrid w:val="0"/>
        <w:spacing w:line="360" w:lineRule="auto"/>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14.2</w:t>
      </w:r>
      <w:r>
        <w:rPr>
          <w:rFonts w:hint="eastAsia" w:ascii="仿宋_GB2312" w:hAnsi="仿宋_GB2312" w:eastAsia="仿宋_GB2312" w:cs="仿宋_GB2312"/>
          <w:b/>
          <w:bCs/>
          <w:color w:val="auto"/>
          <w:szCs w:val="21"/>
        </w:rPr>
        <w:t>投标人存在下列情形的，投标保证金不予退还:</w:t>
      </w:r>
    </w:p>
    <w:p>
      <w:pPr>
        <w:adjustRightInd w:val="0"/>
        <w:snapToGrid w:val="0"/>
        <w:spacing w:line="360" w:lineRule="auto"/>
        <w:ind w:firstLine="420" w:firstLineChars="20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（1）投标人在递交投标文件截止时间后撤回投标文件的；</w:t>
      </w:r>
    </w:p>
    <w:p>
      <w:pPr>
        <w:adjustRightInd w:val="0"/>
        <w:snapToGrid w:val="0"/>
        <w:spacing w:line="360" w:lineRule="auto"/>
        <w:ind w:firstLine="420" w:firstLineChars="20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（2）投标人在投标文件中提供虚假材料的；</w:t>
      </w:r>
    </w:p>
    <w:p>
      <w:pPr>
        <w:adjustRightInd w:val="0"/>
        <w:snapToGrid w:val="0"/>
        <w:spacing w:line="360" w:lineRule="auto"/>
        <w:ind w:firstLine="420" w:firstLineChars="20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（3）中标后除因不可抗力或者招标文件认可的情形以外，不按本须知第33条的规定与招标人签订合同的；</w:t>
      </w:r>
    </w:p>
    <w:p>
      <w:pPr>
        <w:adjustRightInd w:val="0"/>
        <w:snapToGrid w:val="0"/>
        <w:spacing w:line="360" w:lineRule="auto"/>
        <w:ind w:firstLine="420" w:firstLineChars="20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（4）中标后不按本须知第34条的规定提交履约保证金的;</w:t>
      </w:r>
    </w:p>
    <w:p>
      <w:pPr>
        <w:adjustRightInd w:val="0"/>
        <w:snapToGrid w:val="0"/>
        <w:spacing w:line="360" w:lineRule="auto"/>
        <w:ind w:firstLine="420" w:firstLineChars="20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（5）串通投标的；</w:t>
      </w:r>
    </w:p>
    <w:p>
      <w:pPr>
        <w:pStyle w:val="24"/>
        <w:rPr>
          <w:rFonts w:ascii="仿宋_GB2312" w:hAnsi="仿宋_GB2312" w:eastAsia="仿宋_GB2312" w:cs="仿宋_GB2312"/>
          <w:color w:val="auto"/>
          <w:spacing w:val="0"/>
          <w:kern w:val="2"/>
          <w:sz w:val="21"/>
          <w:szCs w:val="21"/>
        </w:rPr>
      </w:pPr>
      <w:r>
        <w:rPr>
          <w:rFonts w:hint="eastAsia" w:ascii="仿宋_GB2312" w:hAnsi="仿宋_GB2312" w:eastAsia="仿宋_GB2312" w:cs="仿宋_GB2312"/>
          <w:color w:val="auto"/>
          <w:spacing w:val="0"/>
          <w:kern w:val="2"/>
          <w:sz w:val="21"/>
          <w:szCs w:val="21"/>
        </w:rPr>
        <w:t>（6）因作假而被取消中标资格的；</w:t>
      </w:r>
    </w:p>
    <w:p>
      <w:pPr>
        <w:pStyle w:val="24"/>
        <w:rPr>
          <w:rFonts w:ascii="仿宋_GB2312" w:hAnsi="仿宋_GB2312" w:eastAsia="仿宋_GB2312" w:cs="仿宋_GB2312"/>
          <w:color w:val="auto"/>
          <w:spacing w:val="0"/>
          <w:kern w:val="2"/>
          <w:sz w:val="21"/>
          <w:szCs w:val="21"/>
        </w:rPr>
      </w:pPr>
      <w:r>
        <w:rPr>
          <w:rFonts w:hint="eastAsia" w:ascii="仿宋_GB2312" w:hAnsi="仿宋_GB2312" w:eastAsia="仿宋_GB2312" w:cs="仿宋_GB2312"/>
          <w:color w:val="auto"/>
          <w:spacing w:val="0"/>
          <w:kern w:val="2"/>
          <w:sz w:val="21"/>
          <w:szCs w:val="21"/>
        </w:rPr>
        <w:t>（7）因投诉属实被取消中标资格的；</w:t>
      </w:r>
    </w:p>
    <w:p>
      <w:pPr>
        <w:adjustRightInd w:val="0"/>
        <w:snapToGrid w:val="0"/>
        <w:spacing w:line="360" w:lineRule="auto"/>
        <w:ind w:firstLine="420" w:firstLineChars="20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（8）招标文件规定的其他保证金不予退还情形或存在其他违法违规行为的。</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14.4联合体参加招标活动的，可以由联合体中的一方或者共同提交投标保证金。以一方名义提交投标保证金的，对联合体各方均具有约束力。</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14.5投标保证金的退还</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14.5.1中标人应在与招标人签订了合同且递交了履约保证金（或履约保函）之日起5个工作日内无息退还，中标人应及时办理投标保证金退还手续。</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14.5.2未中标人的投标保证金将在中标通知书发出之日起5个工作日内无息退还。投标人应及时联系保证金收受机构办理退还投标保证金手续。</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14.5.3投标人在提交投标文件截止时间前撤回已提交的投标文件的，投标人应自招标人收到投标人书面撤回通知之日起10个工作日内，及时办理投标保证金退还手续。</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14.5.4 采用保函的退回必须由提供该保函的投标人出具的收据。</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14.6 因投标人自身原因导致无法及时退还的，招标人将不承担相应责任。</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15.证明标的的合格性和符合招标文件规定的技术文件</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15.1投标人应提交证明文件，证明其投标内容符合招标文件规定。该证明文件是投标文件的一部分。</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15.2上款所述的证明文件，可以是文字资料、图纸和数据，它包括：</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（1）主要技术指标和性能的详细说明；</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（2）从招标人开始使用至合同约定的保质期内正常、连续地使用所必须的备件和专用工具清单，包括备件和专用工具的货源及现行价格（如有）;</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（3）对照招标文件技术规格，逐条说明所提供货物、工程和服务及伴随的附加部分已对招标文件的技术规格做出了实质性的响应，或申明与技术规格条文的偏差和例外。</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16.投标有效期</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16.1投标文件应在投标人须知表16.1款中规定的投标有效期内保持有效。投标有效期不满足要求的响应，其投标文件将被认定为</w:t>
      </w:r>
      <w:r>
        <w:rPr>
          <w:rFonts w:hint="eastAsia" w:ascii="仿宋_GB2312" w:hAnsi="仿宋_GB2312" w:eastAsia="仿宋_GB2312" w:cs="仿宋_GB2312"/>
          <w:b/>
          <w:bCs/>
          <w:color w:val="auto"/>
          <w:szCs w:val="21"/>
        </w:rPr>
        <w:t>废标</w:t>
      </w:r>
      <w:r>
        <w:rPr>
          <w:rFonts w:hint="eastAsia" w:ascii="仿宋_GB2312" w:hAnsi="仿宋_GB2312" w:eastAsia="仿宋_GB2312" w:cs="仿宋_GB2312"/>
          <w:color w:val="auto"/>
          <w:szCs w:val="21"/>
        </w:rPr>
        <w:t>。</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16.2在特殊情况下，招标人可根据实际情况，在原投标有效期截止之前，要求投标人延长投标有效期。接受该要求的投标人将不会被要求和允许修正其投标文件，且本须知中有关投标保证金的要求须在延长的有效期内继续有效。投标人可以拒绝延长投标有效期的要求，其投标保证金将及时无息退还。上述要求和答复都应以书面形式提交。</w:t>
      </w:r>
    </w:p>
    <w:p>
      <w:pPr>
        <w:adjustRightInd w:val="0"/>
        <w:snapToGrid w:val="0"/>
        <w:spacing w:line="360" w:lineRule="auto"/>
        <w:rPr>
          <w:rFonts w:ascii="仿宋_GB2312" w:hAnsi="仿宋_GB2312" w:eastAsia="仿宋_GB2312" w:cs="仿宋_GB2312"/>
          <w:b/>
          <w:color w:val="auto"/>
          <w:szCs w:val="21"/>
        </w:rPr>
      </w:pPr>
      <w:r>
        <w:rPr>
          <w:rFonts w:hint="eastAsia" w:ascii="仿宋_GB2312" w:hAnsi="仿宋_GB2312" w:eastAsia="仿宋_GB2312" w:cs="仿宋_GB2312"/>
          <w:b/>
          <w:color w:val="auto"/>
          <w:szCs w:val="21"/>
        </w:rPr>
        <w:t>17.投标文件的签署及规定</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rPr>
        <w:t>1</w:t>
      </w:r>
      <w:r>
        <w:rPr>
          <w:rFonts w:hint="eastAsia" w:ascii="仿宋_GB2312" w:hAnsi="仿宋_GB2312" w:eastAsia="仿宋_GB2312" w:cs="仿宋_GB2312"/>
          <w:color w:val="auto"/>
          <w:szCs w:val="21"/>
          <w:highlight w:val="none"/>
        </w:rPr>
        <w:t>7.1投标人应按投标人须知表17.1款中的规定，准备和递交纸质投标文件正本、副本和电子投标文件。</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17.2每份纸质投标文件封皮须清楚地标明“正本”或“副本”。若正本和副本不符，以正本为准。正本一份，副本份数见投标人须知前附表。</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17.3投标文件的制作应满足以下规定：</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rPr>
        <w:t>17.3.1 投标文件由投</w:t>
      </w:r>
      <w:r>
        <w:rPr>
          <w:rFonts w:hint="eastAsia" w:ascii="仿宋_GB2312" w:hAnsi="仿宋_GB2312" w:eastAsia="仿宋_GB2312" w:cs="仿宋_GB2312"/>
          <w:color w:val="auto"/>
          <w:szCs w:val="21"/>
          <w:highlight w:val="none"/>
        </w:rPr>
        <w:t>标人使用电子采购平台自带的投标文件/投标文件制作工具制作生成。</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17.3.2 投标人在编制投标文件时应建立分组目录，并按照标签提示导入相关内容。</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17.3.3 投标文件中的报价一览表等数据文件应与招标文件提供的报价一览表等数据文件格式一致。</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17.4因投标人自身原因而导致投标文件无法导入电子采购</w:t>
      </w:r>
      <w:r>
        <w:rPr>
          <w:rFonts w:hint="eastAsia" w:ascii="仿宋_GB2312" w:hAnsi="仿宋_GB2312" w:eastAsia="仿宋_GB2312" w:cs="仿宋_GB2312"/>
          <w:color w:val="auto"/>
          <w:szCs w:val="21"/>
          <w:highlight w:val="none"/>
        </w:rPr>
        <w:t>平台电子开标、评标系统，该投标文件视为无效，投标人自行承担由此导致的全部责任和损失。</w:t>
      </w:r>
    </w:p>
    <w:p>
      <w:pPr>
        <w:pStyle w:val="24"/>
        <w:ind w:firstLine="420" w:firstLineChars="200"/>
        <w:rPr>
          <w:color w:val="auto"/>
        </w:rPr>
      </w:pPr>
      <w:r>
        <w:rPr>
          <w:rFonts w:hint="eastAsia" w:ascii="仿宋_GB2312" w:hAnsi="仿宋_GB2312" w:eastAsia="仿宋_GB2312" w:cs="仿宋_GB2312"/>
          <w:color w:val="auto"/>
          <w:spacing w:val="0"/>
          <w:kern w:val="2"/>
          <w:sz w:val="21"/>
          <w:szCs w:val="21"/>
        </w:rPr>
        <w:t>17.5 以联合体形式参与投标的，投标文件由联合体牵头人的法定代表人或其授权委托代理人按上述规定签署并加盖联合牵头人单位章。法定代表人授权委托书或法定代表人身份证明须由联合体牵头人按招标文件要求出具。</w:t>
      </w:r>
    </w:p>
    <w:p>
      <w:pPr>
        <w:pStyle w:val="3"/>
        <w:adjustRightInd w:val="0"/>
        <w:snapToGrid w:val="0"/>
        <w:spacing w:before="0" w:after="0"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 投标文件的递交</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18.投标文件的密封和标记</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18.1投标人应将纸质投标文件密封，将正本和所有的副本密封，并进行包封。</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18.2所有包装封皮上均应：</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（1）注明项目名称、包号、投标人名称。</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（2）加盖投标人单位公章。</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color w:val="auto"/>
          <w:szCs w:val="21"/>
        </w:rPr>
        <w:t>18.3如果投标人未按上述要求密封，其纸质投标文件将被</w:t>
      </w:r>
      <w:r>
        <w:rPr>
          <w:rFonts w:hint="eastAsia" w:ascii="仿宋_GB2312" w:hAnsi="仿宋_GB2312" w:eastAsia="仿宋_GB2312" w:cs="仿宋_GB2312"/>
          <w:b/>
          <w:bCs/>
          <w:color w:val="auto"/>
          <w:szCs w:val="21"/>
        </w:rPr>
        <w:t>拒绝接收</w:t>
      </w:r>
      <w:r>
        <w:rPr>
          <w:rFonts w:hint="eastAsia" w:ascii="仿宋_GB2312" w:hAnsi="仿宋_GB2312" w:eastAsia="仿宋_GB2312" w:cs="仿宋_GB2312"/>
          <w:color w:val="auto"/>
          <w:szCs w:val="21"/>
        </w:rPr>
        <w:t>。</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19.递交投标文件的递交</w:t>
      </w:r>
    </w:p>
    <w:p>
      <w:pPr>
        <w:adjustRightInd w:val="0"/>
        <w:snapToGrid w:val="0"/>
        <w:spacing w:line="360" w:lineRule="auto"/>
        <w:rPr>
          <w:rFonts w:ascii="仿宋_GB2312" w:hAnsi="仿宋_GB2312" w:eastAsia="仿宋_GB2312" w:cs="仿宋_GB2312"/>
          <w:color w:val="auto"/>
          <w:szCs w:val="21"/>
          <w:highlight w:val="yellow"/>
        </w:rPr>
      </w:pPr>
      <w:r>
        <w:rPr>
          <w:rFonts w:hint="eastAsia" w:ascii="仿宋_GB2312" w:hAnsi="仿宋_GB2312" w:eastAsia="仿宋_GB2312" w:cs="仿宋_GB2312"/>
          <w:color w:val="auto"/>
          <w:szCs w:val="21"/>
        </w:rPr>
        <w:t>19.1投标人应在“招标公告”规定的递交投标文件截止时间前，通过电子采购平台将加密的投标文件上传，并保存上传成功后系统自动生存的电子签收凭证，递交时间即为电子签收凭证时间</w:t>
      </w:r>
      <w:r>
        <w:rPr>
          <w:rFonts w:hint="eastAsia" w:ascii="仿宋_GB2312" w:hAnsi="仿宋_GB2312" w:eastAsia="仿宋_GB2312" w:cs="仿宋_GB2312"/>
          <w:color w:val="auto"/>
          <w:szCs w:val="21"/>
          <w:highlight w:val="none"/>
        </w:rPr>
        <w:t>。中标人在收到中标通知书后，签订合同前须向招标人提交与电子文档一致的纸质投标文件一正一副</w:t>
      </w:r>
      <w:r>
        <w:rPr>
          <w:rStyle w:val="23"/>
          <w:rFonts w:hint="eastAsia" w:ascii="仿宋_GB2312" w:hAnsi="仿宋_GB2312" w:eastAsia="仿宋_GB2312" w:cs="仿宋_GB2312"/>
          <w:b/>
          <w:bCs/>
          <w:color w:val="auto"/>
          <w:szCs w:val="21"/>
          <w:highlight w:val="none"/>
        </w:rPr>
        <w:footnoteReference w:id="3"/>
      </w:r>
      <w:r>
        <w:rPr>
          <w:rFonts w:hint="eastAsia" w:ascii="仿宋_GB2312" w:hAnsi="仿宋_GB2312" w:eastAsia="仿宋_GB2312" w:cs="仿宋_GB2312"/>
          <w:color w:val="auto"/>
          <w:szCs w:val="21"/>
          <w:highlight w:val="none"/>
        </w:rPr>
        <w:t>。</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19.2 投标人应充分考虑上传文件时的不可预见因素，未在投标文件递交截止时间前完成电子投标文件上传的，视为逾期送达，招标人（电子采购平台）将拒绝接收。</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19.3招标人有权按本须知的规定，延迟递交投标文件截止时间。在此情况下，招标人和投标人受递交投标文件截止时间制约的所有权利和义务均应延长至新的截止时间。</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20.投标文件的修改与撤回</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20.1 在本章第18.1款规定的投标文件递交截止时间前，投标人可以修改或撤回已递交投标文件，投标人对加密的投标文件进行撤回的，应在电子采购平台直接进行撤回操作；投标人对加密的投标文件进行修改的，应按本章的规定进行编制、加密和递交，并在投标文件递交截止时间前完成上传。</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20.3在递交投标文件截止时间之后，投标人不得对其投标文件做任何修改。</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20.4招标人对所接收的投标文件概不退回。</w:t>
      </w:r>
    </w:p>
    <w:p>
      <w:pPr>
        <w:pStyle w:val="3"/>
        <w:adjustRightInd w:val="0"/>
        <w:snapToGrid w:val="0"/>
        <w:spacing w:before="0" w:after="0"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 投标文件的评审</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21.投标文件开启会议</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21.1招标人将按投标人须知表21.1款中规定的时间和地点召开投标文件开启会，公布投标人名称、投标保证金递交情况、解密情况及其他内容，并记录在案。并邀请所有投标人代表参加，投标人代表不参加投标文件开启会的，视为该投标人默认投标文件开启会的结果。</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21.2投标人代表对投标文件开启会过程有疑义，以及认为招标人相关工作人员有需要回避的情形的，应当场提出询问或者回避申请。</w:t>
      </w:r>
    </w:p>
    <w:p>
      <w:pPr>
        <w:pStyle w:val="24"/>
        <w:ind w:firstLine="0"/>
        <w:rPr>
          <w:rFonts w:ascii="仿宋_GB2312" w:hAnsi="仿宋_GB2312" w:eastAsia="仿宋_GB2312" w:cs="仿宋_GB2312"/>
          <w:color w:val="auto"/>
          <w:spacing w:val="0"/>
          <w:kern w:val="2"/>
          <w:sz w:val="21"/>
          <w:szCs w:val="21"/>
        </w:rPr>
      </w:pPr>
      <w:r>
        <w:rPr>
          <w:rFonts w:hint="eastAsia" w:ascii="仿宋_GB2312" w:hAnsi="仿宋_GB2312" w:eastAsia="仿宋_GB2312" w:cs="仿宋_GB2312"/>
          <w:color w:val="auto"/>
          <w:spacing w:val="0"/>
          <w:kern w:val="2"/>
          <w:sz w:val="21"/>
          <w:szCs w:val="21"/>
        </w:rPr>
        <w:t>21.3 招标人在投标人解密截止时间后，对投标人解密成功的投标文件进行解密。</w:t>
      </w:r>
    </w:p>
    <w:p>
      <w:pPr>
        <w:pStyle w:val="24"/>
        <w:ind w:firstLine="0"/>
        <w:rPr>
          <w:rFonts w:ascii="仿宋_GB2312" w:hAnsi="仿宋_GB2312" w:eastAsia="仿宋_GB2312" w:cs="仿宋_GB2312"/>
          <w:color w:val="auto"/>
          <w:spacing w:val="0"/>
          <w:kern w:val="2"/>
          <w:sz w:val="21"/>
          <w:szCs w:val="21"/>
        </w:rPr>
      </w:pPr>
      <w:r>
        <w:rPr>
          <w:rFonts w:hint="eastAsia" w:ascii="仿宋_GB2312" w:hAnsi="仿宋_GB2312" w:eastAsia="仿宋_GB2312" w:cs="仿宋_GB2312"/>
          <w:color w:val="auto"/>
          <w:spacing w:val="0"/>
          <w:kern w:val="2"/>
          <w:sz w:val="21"/>
          <w:szCs w:val="21"/>
        </w:rPr>
        <w:t>21.4 若某一标段提交投标文件的投标人不足3家的，不得继续进行下一步。</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21.5 在投标文件开启会现场，招标人将按第四章“评审办法”规定的原则计算并宣布评审基准价。若招标人发现投标文件出现下列情况之一的，其投标报价将不再参加评审基准价的计算：</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（1）未在投标函上填写总价或总价大写金额无法确定具体数值的；</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（2）投标函中的总报价超出招标人公布的该标段的最高限价的；</w:t>
      </w:r>
    </w:p>
    <w:p>
      <w:pPr>
        <w:pStyle w:val="24"/>
        <w:rPr>
          <w:rFonts w:ascii="仿宋_GB2312" w:hAnsi="仿宋_GB2312" w:eastAsia="仿宋_GB2312" w:cs="仿宋_GB2312"/>
          <w:color w:val="auto"/>
          <w:spacing w:val="0"/>
          <w:kern w:val="2"/>
          <w:sz w:val="21"/>
          <w:szCs w:val="21"/>
          <w:highlight w:val="none"/>
        </w:rPr>
      </w:pPr>
      <w:r>
        <w:rPr>
          <w:rFonts w:hint="eastAsia" w:ascii="仿宋_GB2312" w:hAnsi="仿宋_GB2312" w:eastAsia="仿宋_GB2312" w:cs="仿宋_GB2312"/>
          <w:color w:val="auto"/>
          <w:spacing w:val="0"/>
          <w:kern w:val="2"/>
          <w:sz w:val="21"/>
          <w:szCs w:val="21"/>
          <w:highlight w:val="none"/>
        </w:rPr>
        <w:t>（3）投标函上填写的标段号与投标文件封面上标记的标段号不一致。</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如果投标人认为某一标段的评审基准价计算有误，有权在投标文件开启会现场提出，经招标人当场核实确认之后，可重新宣布评审基准价。投标文件开启会现场宣布的评审基准价计算有误经评审委员会修正外，在整个评审期间保持不变，不随任何因素发生变化。</w:t>
      </w:r>
    </w:p>
    <w:p>
      <w:pPr>
        <w:pStyle w:val="25"/>
        <w:spacing w:line="360" w:lineRule="auto"/>
        <w:ind w:firstLine="0" w:firstLineChars="0"/>
        <w:rPr>
          <w:rFonts w:ascii="仿宋_GB2312" w:hAnsi="仿宋_GB2312" w:eastAsia="仿宋_GB2312" w:cs="仿宋_GB2312"/>
          <w:color w:val="auto"/>
          <w:szCs w:val="21"/>
          <w:highlight w:val="yellow"/>
        </w:rPr>
      </w:pPr>
      <w:r>
        <w:rPr>
          <w:rFonts w:hint="eastAsia" w:ascii="仿宋_GB2312" w:hAnsi="仿宋_GB2312" w:eastAsia="仿宋_GB2312" w:cs="仿宋_GB2312"/>
          <w:color w:val="auto"/>
          <w:szCs w:val="21"/>
        </w:rPr>
        <w:t>21.6 在投标文件开启过程中，若招标人宣读的内容与投标文件不符时，投标人有权在投标文件开启会现场提出异议，经招标人当场核查确认之后，可重新宣读其投标文件。若投标人现场未提出异议，则认为投标人已确认招标人宣读的内容。</w:t>
      </w:r>
    </w:p>
    <w:p>
      <w:pPr>
        <w:pStyle w:val="25"/>
        <w:spacing w:line="360" w:lineRule="auto"/>
        <w:ind w:firstLine="0" w:firstLineChars="0"/>
        <w:rPr>
          <w:color w:val="auto"/>
        </w:rPr>
      </w:pPr>
      <w:r>
        <w:rPr>
          <w:rFonts w:hint="eastAsia" w:ascii="仿宋_GB2312" w:hAnsi="仿宋_GB2312" w:eastAsia="仿宋_GB2312" w:cs="仿宋_GB2312"/>
          <w:color w:val="auto"/>
          <w:szCs w:val="21"/>
        </w:rPr>
        <w:t>21.7  投标文件递交截止时间前未完成投标文件传输的，或因投标人之外的原因造成投标文件未解密的，均视为投标人撤回其电子投标文件。因投标人原因造成投标文件未完成上传或未在解密截止时间前解密的，视为撤销其投标文件。</w:t>
      </w:r>
    </w:p>
    <w:p>
      <w:pPr>
        <w:pStyle w:val="10"/>
        <w:spacing w:line="360" w:lineRule="auto"/>
        <w:rPr>
          <w:rFonts w:ascii="仿宋_GB2312" w:hAnsi="仿宋_GB2312" w:eastAsia="仿宋_GB2312" w:cs="仿宋_GB2312"/>
          <w:b/>
          <w:bCs/>
          <w:color w:val="auto"/>
        </w:rPr>
      </w:pPr>
      <w:r>
        <w:rPr>
          <w:rFonts w:hint="eastAsia" w:ascii="仿宋_GB2312" w:hAnsi="仿宋_GB2312" w:eastAsia="仿宋_GB2312" w:cs="仿宋_GB2312"/>
          <w:b/>
          <w:bCs/>
          <w:color w:val="auto"/>
        </w:rPr>
        <w:t>22.组建评审小组</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22.1按照《肇庆市交通集团有限公司采购管理办法》有关规定依规组建评审小组，负责本项目评审工作。</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rPr>
        <w:t>22.2 评审小组由招标人代表和评审专家共5人及以上单数组成。</w:t>
      </w:r>
      <w:r>
        <w:rPr>
          <w:rFonts w:hint="eastAsia" w:ascii="仿宋_GB2312" w:hAnsi="仿宋_GB2312" w:eastAsia="仿宋_GB2312" w:cs="仿宋_GB2312"/>
          <w:color w:val="auto"/>
          <w:szCs w:val="21"/>
        </w:rPr>
        <w:t>本项目评审小组组成详见投标人须知表21.2款。</w:t>
      </w:r>
    </w:p>
    <w:p>
      <w:pPr>
        <w:pStyle w:val="10"/>
        <w:spacing w:line="360" w:lineRule="auto"/>
        <w:rPr>
          <w:rFonts w:ascii="仿宋_GB2312" w:hAnsi="仿宋_GB2312" w:eastAsia="仿宋_GB2312" w:cs="仿宋_GB2312"/>
          <w:b/>
          <w:bCs/>
          <w:color w:val="auto"/>
        </w:rPr>
      </w:pPr>
      <w:r>
        <w:rPr>
          <w:rFonts w:hint="eastAsia" w:ascii="仿宋_GB2312" w:hAnsi="仿宋_GB2312" w:eastAsia="仿宋_GB2312" w:cs="仿宋_GB2312"/>
          <w:b/>
          <w:bCs/>
          <w:color w:val="auto"/>
        </w:rPr>
        <w:t>23.资格审查</w:t>
      </w:r>
    </w:p>
    <w:p>
      <w:pPr>
        <w:pStyle w:val="10"/>
        <w:adjustRightInd w:val="0"/>
        <w:snapToGrid w:val="0"/>
        <w:spacing w:line="360" w:lineRule="auto"/>
        <w:rPr>
          <w:rFonts w:ascii="仿宋_GB2312" w:hAnsi="仿宋_GB2312" w:eastAsia="仿宋_GB2312" w:cs="仿宋_GB2312"/>
          <w:color w:val="auto"/>
        </w:rPr>
      </w:pPr>
      <w:r>
        <w:rPr>
          <w:rFonts w:hint="eastAsia" w:ascii="仿宋_GB2312" w:hAnsi="仿宋_GB2312" w:eastAsia="仿宋_GB2312" w:cs="仿宋_GB2312"/>
          <w:color w:val="auto"/>
        </w:rPr>
        <w:t>23.1 评审小组依据法律法规和招标文件中规定的内容，对投标人的资格（提交资格证明材料）进行审查。未通过资格审查的投标人不能进行下一阶段评审，其投标文件将被认定为</w:t>
      </w:r>
      <w:r>
        <w:rPr>
          <w:rFonts w:hint="eastAsia" w:ascii="仿宋_GB2312" w:hAnsi="仿宋_GB2312" w:eastAsia="仿宋_GB2312" w:cs="仿宋_GB2312"/>
          <w:b/>
          <w:bCs/>
          <w:color w:val="auto"/>
        </w:rPr>
        <w:t>废标</w:t>
      </w:r>
      <w:r>
        <w:rPr>
          <w:rFonts w:hint="eastAsia" w:ascii="仿宋_GB2312" w:hAnsi="仿宋_GB2312" w:eastAsia="仿宋_GB2312" w:cs="仿宋_GB2312"/>
          <w:color w:val="auto"/>
        </w:rPr>
        <w:t>。通过资格审查的投标人</w:t>
      </w:r>
      <w:r>
        <w:rPr>
          <w:rFonts w:hint="eastAsia" w:ascii="仿宋_GB2312" w:hAnsi="仿宋_GB2312" w:eastAsia="仿宋_GB2312" w:cs="仿宋_GB2312"/>
          <w:b/>
          <w:bCs/>
          <w:color w:val="auto"/>
        </w:rPr>
        <w:t>不足3家的</w:t>
      </w:r>
      <w:r>
        <w:rPr>
          <w:rFonts w:hint="eastAsia" w:ascii="仿宋_GB2312" w:hAnsi="仿宋_GB2312" w:eastAsia="仿宋_GB2312" w:cs="仿宋_GB2312"/>
          <w:color w:val="auto"/>
        </w:rPr>
        <w:t>，不得进行符合性审查。</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24.符合性审查</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rPr>
        <w:t>24.1</w:t>
      </w:r>
      <w:r>
        <w:rPr>
          <w:rFonts w:hint="eastAsia" w:ascii="仿宋_GB2312" w:hAnsi="仿宋_GB2312" w:eastAsia="仿宋_GB2312" w:cs="仿宋_GB2312"/>
          <w:color w:val="auto"/>
          <w:szCs w:val="21"/>
          <w:shd w:val="clear" w:color="auto" w:fill="FFFFFF"/>
        </w:rPr>
        <w:t>符合性审查是指依据招标文件的规定，从投标文件的有效性和完整性对招标文件的响应程度进行审查，以确定是否对招标文件的实质性要求做出响应。</w:t>
      </w:r>
      <w:r>
        <w:rPr>
          <w:rFonts w:hint="eastAsia" w:ascii="仿宋_GB2312" w:hAnsi="仿宋_GB2312" w:eastAsia="仿宋_GB2312" w:cs="仿宋_GB2312"/>
          <w:color w:val="auto"/>
          <w:szCs w:val="21"/>
        </w:rPr>
        <w:t>投标人应按照第六章“投标文件内容及格式”中的相应要求，提交符合性证明材料。未通过符合性审查的投标人不能进入下一阶段评审，其投标文件将被认定为</w:t>
      </w:r>
      <w:r>
        <w:rPr>
          <w:rFonts w:hint="eastAsia" w:ascii="仿宋_GB2312" w:hAnsi="仿宋_GB2312" w:eastAsia="仿宋_GB2312" w:cs="仿宋_GB2312"/>
          <w:b/>
          <w:bCs/>
          <w:color w:val="auto"/>
          <w:szCs w:val="21"/>
        </w:rPr>
        <w:t>废标</w:t>
      </w:r>
      <w:r>
        <w:rPr>
          <w:rFonts w:hint="eastAsia" w:ascii="仿宋_GB2312" w:hAnsi="仿宋_GB2312" w:eastAsia="仿宋_GB2312" w:cs="仿宋_GB2312"/>
          <w:color w:val="auto"/>
          <w:szCs w:val="21"/>
        </w:rPr>
        <w:t>；通过符合性审查的投标人数量不</w:t>
      </w:r>
      <w:r>
        <w:rPr>
          <w:rFonts w:hint="eastAsia" w:ascii="仿宋_GB2312" w:hAnsi="仿宋_GB2312" w:eastAsia="仿宋_GB2312" w:cs="仿宋_GB2312"/>
          <w:b/>
          <w:bCs/>
          <w:color w:val="auto"/>
          <w:szCs w:val="21"/>
        </w:rPr>
        <w:t>足3家</w:t>
      </w:r>
      <w:r>
        <w:rPr>
          <w:rFonts w:hint="eastAsia" w:ascii="仿宋_GB2312" w:hAnsi="仿宋_GB2312" w:eastAsia="仿宋_GB2312" w:cs="仿宋_GB2312"/>
          <w:color w:val="auto"/>
          <w:szCs w:val="21"/>
        </w:rPr>
        <w:t>的，不得作进一步的比较和评审。</w:t>
      </w:r>
    </w:p>
    <w:p>
      <w:pPr>
        <w:pStyle w:val="10"/>
        <w:spacing w:line="360" w:lineRule="auto"/>
        <w:rPr>
          <w:rFonts w:ascii="仿宋_GB2312" w:hAnsi="仿宋_GB2312" w:eastAsia="仿宋_GB2312" w:cs="仿宋_GB2312"/>
          <w:b/>
          <w:bCs/>
          <w:color w:val="auto"/>
        </w:rPr>
      </w:pPr>
      <w:r>
        <w:rPr>
          <w:rFonts w:hint="eastAsia" w:ascii="仿宋_GB2312" w:hAnsi="仿宋_GB2312" w:eastAsia="仿宋_GB2312" w:cs="仿宋_GB2312"/>
          <w:b/>
          <w:bCs/>
          <w:color w:val="auto"/>
        </w:rPr>
        <w:t>25.投标文件的澄清</w:t>
      </w:r>
    </w:p>
    <w:p>
      <w:pPr>
        <w:pStyle w:val="10"/>
        <w:spacing w:line="360" w:lineRule="auto"/>
        <w:rPr>
          <w:rFonts w:ascii="仿宋_GB2312" w:hAnsi="仿宋_GB2312" w:eastAsia="仿宋_GB2312" w:cs="仿宋_GB2312"/>
          <w:color w:val="auto"/>
        </w:rPr>
      </w:pPr>
      <w:r>
        <w:rPr>
          <w:rFonts w:hint="eastAsia" w:ascii="仿宋_GB2312" w:hAnsi="仿宋_GB2312" w:eastAsia="仿宋_GB2312" w:cs="仿宋_GB2312"/>
          <w:color w:val="auto"/>
        </w:rPr>
        <w:t>25.1评审小组可以通过电子采购平台要求投标人对投标文件中含义不明确、同类问题表述不一致或者有明显文字和计算错误的内容等，作出必要的澄清、说明或者更正。投标人的澄清、说明或者更正不得超出投标文件的范围或者改变投标文件的实质性内容。投标人拒不进行澄清、说明、补正的，或者不能在规定时间内作出书面澄清、说明、补正的，其投标文件将被作为废标处理。</w:t>
      </w:r>
    </w:p>
    <w:p>
      <w:pPr>
        <w:adjustRightInd w:val="0"/>
        <w:snapToGrid w:val="0"/>
        <w:spacing w:line="360" w:lineRule="auto"/>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rPr>
        <w:t>25.1.1投标人的澄清、说明或者补正应当通过电子采购平台以书面形式进行，由其法定代表人或其授权代表签字或加盖公章。</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25.1.2投标人的澄清、说明或补正将作为投标文件的一部分。</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25.2投标文件报价出现前后不一致的，按照下列规定修正：</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（1）投标文件中报价一览表内容与投标文件中相应内容不一致的，以报价一览表为准；</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（2）大写金额和小写金额不一致的，以大写金额为准；</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（3）单价金额小数点或者百分比有明显错位的，以报价一览表的总价为准，并修改单价；</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（4）总价金额与按单价汇总金额不一致的，以单价金额计算结果为准。</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同时出现两种以上不一致的，按照前款规定的顺序修正。修正后的报价经投标人确认后产生约束力，投标人不确认的，其投标文件将被认定为</w:t>
      </w:r>
      <w:r>
        <w:rPr>
          <w:rFonts w:hint="eastAsia" w:ascii="仿宋_GB2312" w:hAnsi="仿宋_GB2312" w:eastAsia="仿宋_GB2312" w:cs="仿宋_GB2312"/>
          <w:b/>
          <w:bCs/>
          <w:color w:val="auto"/>
          <w:szCs w:val="21"/>
        </w:rPr>
        <w:t>废标</w:t>
      </w:r>
      <w:r>
        <w:rPr>
          <w:rFonts w:hint="eastAsia" w:ascii="仿宋_GB2312" w:hAnsi="仿宋_GB2312" w:eastAsia="仿宋_GB2312" w:cs="仿宋_GB2312"/>
          <w:color w:val="auto"/>
          <w:szCs w:val="21"/>
        </w:rPr>
        <w:t>。</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25.3评审小组认为投标人的报价明显低于其他通过符合性审查投标人的报价，有可能影响产品质量或者不能诚信履约的，应当要求该投标人在合理的时间内提供书面说明，必要时提交相关证明材料；投标人不能证明其报价合理性的，评审小组应当将其作为</w:t>
      </w:r>
      <w:r>
        <w:rPr>
          <w:rFonts w:hint="eastAsia" w:ascii="仿宋_GB2312" w:hAnsi="仿宋_GB2312" w:eastAsia="仿宋_GB2312" w:cs="仿宋_GB2312"/>
          <w:b/>
          <w:bCs/>
          <w:color w:val="auto"/>
          <w:szCs w:val="21"/>
        </w:rPr>
        <w:t>废标</w:t>
      </w:r>
      <w:r>
        <w:rPr>
          <w:rFonts w:hint="eastAsia" w:ascii="仿宋_GB2312" w:hAnsi="仿宋_GB2312" w:eastAsia="仿宋_GB2312" w:cs="仿宋_GB2312"/>
          <w:color w:val="auto"/>
          <w:szCs w:val="21"/>
        </w:rPr>
        <w:t>处理。</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26.废标</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26.1在比较与评审之前，根据本须知的规定，评审小组要审查每份投标文件是否实质上响应了招标文件的要求。</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如果投标文件没有对招标文件的实质性要求进行响应，将作为</w:t>
      </w:r>
      <w:r>
        <w:rPr>
          <w:rFonts w:hint="eastAsia" w:ascii="仿宋_GB2312" w:hAnsi="仿宋_GB2312" w:eastAsia="仿宋_GB2312" w:cs="仿宋_GB2312"/>
          <w:b/>
          <w:bCs/>
          <w:color w:val="auto"/>
          <w:szCs w:val="21"/>
        </w:rPr>
        <w:t>废标</w:t>
      </w:r>
      <w:r>
        <w:rPr>
          <w:rFonts w:hint="eastAsia" w:ascii="仿宋_GB2312" w:hAnsi="仿宋_GB2312" w:eastAsia="仿宋_GB2312" w:cs="仿宋_GB2312"/>
          <w:color w:val="auto"/>
          <w:szCs w:val="21"/>
        </w:rPr>
        <w:t>处理，投标人不得再对投标文件进行任何修正从而使其响应成为实质上响应。</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评审小组决定投标文件的响应性只根据招标文件要求、投标文件内容及主管部门指定媒体发布的相关信息。</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26.2如发现下列情况之一的，其投标文件将被认定为废标，该投标文件不参与评审：</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（1）投标函未按照招标文件规定要求签署、盖章的；</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（2）投标人的报价超过了招标文件中规定的最高限价的；</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（3）不具备法律、法规和招标文件中规定的资格要求的；</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（4）没有对招标文件中规定的实质性要求和条件作出响应的；</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（5）评审小组认为投标人的报价明显低于其他通过符合性审查投标人的报价，有可能影响履约的，且投标人未按照规定证明其报价合理性的；</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（6）投标人有串通投标、弄虚作假、行贿等违法行为的；</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（7）未按招标文件的规定提交投标保证金的；</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（8）投标有效期不足的；</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（9）投标文件含有招标人不能接受的附加条件的；</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（10）属于法律、法规和招标文件规定的其他投标文件无效情形。</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26.3 有下列情形之一的，视为投标人串通投标，其投标文件无效：</w:t>
      </w:r>
    </w:p>
    <w:p>
      <w:pPr>
        <w:adjustRightInd w:val="0"/>
        <w:snapToGrid w:val="0"/>
        <w:spacing w:line="360" w:lineRule="auto"/>
        <w:ind w:firstLine="422" w:firstLineChars="200"/>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（1）不同投标人的投标文件由同一单位或者个人编制；</w:t>
      </w:r>
    </w:p>
    <w:p>
      <w:pPr>
        <w:adjustRightInd w:val="0"/>
        <w:snapToGrid w:val="0"/>
        <w:spacing w:line="360" w:lineRule="auto"/>
        <w:ind w:firstLine="422" w:firstLineChars="200"/>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（2）不同投标人委托同一单位或者个人办理询价事宜；</w:t>
      </w:r>
    </w:p>
    <w:p>
      <w:pPr>
        <w:adjustRightInd w:val="0"/>
        <w:snapToGrid w:val="0"/>
        <w:spacing w:line="360" w:lineRule="auto"/>
        <w:ind w:firstLine="422" w:firstLineChars="200"/>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（3）不同投标人的投标文件载明的项目管理成员或者联系人员为同一人；</w:t>
      </w:r>
    </w:p>
    <w:p>
      <w:pPr>
        <w:adjustRightInd w:val="0"/>
        <w:snapToGrid w:val="0"/>
        <w:spacing w:line="360" w:lineRule="auto"/>
        <w:ind w:firstLine="422" w:firstLineChars="200"/>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（4）不同投标人的投标文件异常一致或者投标报价呈规律性差异；</w:t>
      </w:r>
    </w:p>
    <w:p>
      <w:pPr>
        <w:adjustRightInd w:val="0"/>
        <w:snapToGrid w:val="0"/>
        <w:spacing w:line="360" w:lineRule="auto"/>
        <w:ind w:firstLine="422" w:firstLineChars="200"/>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（5）不同投标人的投标文件相互混装；</w:t>
      </w:r>
    </w:p>
    <w:p>
      <w:pPr>
        <w:adjustRightInd w:val="0"/>
        <w:snapToGrid w:val="0"/>
        <w:spacing w:line="360" w:lineRule="auto"/>
        <w:ind w:firstLine="422" w:firstLineChars="200"/>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（6）不同投标人的投标保证金从同一单位或者个人的账户转出。</w:t>
      </w:r>
    </w:p>
    <w:p>
      <w:pPr>
        <w:adjustRightInd w:val="0"/>
        <w:snapToGrid w:val="0"/>
        <w:spacing w:line="360" w:lineRule="auto"/>
        <w:rPr>
          <w:rFonts w:ascii="仿宋_GB2312" w:hAnsi="仿宋_GB2312" w:eastAsia="仿宋_GB2312" w:cs="仿宋_GB2312"/>
          <w:b/>
          <w:color w:val="auto"/>
          <w:szCs w:val="21"/>
        </w:rPr>
      </w:pPr>
      <w:r>
        <w:rPr>
          <w:rFonts w:hint="eastAsia" w:ascii="仿宋_GB2312" w:hAnsi="仿宋_GB2312" w:eastAsia="仿宋_GB2312" w:cs="仿宋_GB2312"/>
          <w:b/>
          <w:color w:val="auto"/>
          <w:szCs w:val="21"/>
        </w:rPr>
        <w:t>27.比较与评审</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27.1经符合性审查合格的投标文件，评审小组将根据投标人须知表27.1款规定的评审方法，对其作进一步的比较和评审。</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28.终止招标</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出现下列情形之一，招标人应当终止本次招标活动：</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（1）因情况变化，不再符合规定的自主招标方式适用情形的；          </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（2）出现影响招标公正的违法、违规行为的；</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（3）在招标过程中符合竞争要求的投标人或者报价未超过最高限价的投标人不足3家的；</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（4）因重大变故，招标活动取消的。</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29.中标候选人的推荐原则及标准</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29.1除第28条和32条规定外，评审结束后，评审小组应当从质量和服务均能满足招标文件实质性响应要求的投标人中，按照最终得分由高到低的顺序按投标人须知表29.1款中规定数量推荐中标候选人。</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29.2 因推荐中标候选人名单产生其他问题，由评审小组集体研究处理。</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30.保密原则</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30.1对投标文件的评审应在严格保密的情况下进行。</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30.2有关人员应当遵守评审工作纪律，不得泄露投标文件、评审情况和评审过程中获悉的国家秘密、商业秘密。</w:t>
      </w:r>
    </w:p>
    <w:p>
      <w:pPr>
        <w:pStyle w:val="3"/>
        <w:adjustRightInd w:val="0"/>
        <w:snapToGrid w:val="0"/>
        <w:spacing w:before="0" w:after="0"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七 确定中标</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31.确定中标人</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招标人在收到评审报告7个工作日内在电子采购平台公示中标候选人，公示期不少于3日。</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招标人应从评审报告推荐的中标候选人中，根据招标文件的规定确定中标人，也可以书面授权评审小组直接确定中标人。本项目中标人确定方式详见投标人须知表第31条。</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32.招标活动取消</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因重大变故招标活动取消时，招标人有权拒绝任何投标人中标，且对受影响的投标人不承担任何责任。</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33.中标通知书</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33.1招标人应当自中标候选人公示结束后5个工作日内，向中标人发出中标通知书，并将结果通知所有参加招标活动的未中标的投标人。</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33.2中标通知书是合同的组成部分。</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34.签订合同</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34.1中标人应当自发出中标通知书之日起 30 日内，按照招标文件确定的合同文本以及采购要求等事项签订合同。</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34.2除不可抗力等因素外，中标通知书发出后，招标人改变中标结果，或者中标人拒绝签订合同的，应当承担相应的法律责任。</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34.3招标文件、中标人的投标文件及其澄清文件等，均为签订合同的依据。所签订的合同不得对招标文件确定的事项和中标人投标文件作实质性修改。招标人不得向中标人提出任何不合理的要求，作为签订合同的条件，不得与中标人订立背离招标文件确定的合同文本以及招标标的、金额、数量、技术和服务要求等实质性内容的协议。</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34.4中标人拒绝与招标人签订合同的，招标人可以按照评审报告推荐的中标候选人名单排序，确定下一中标候选人为中标人，也可以重新开展招标活动。拒绝签订合同的中标人需承担招标人的损失并不得参加对该项目重新开展的招标活动。</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35.履约保证金</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35.1 中标人应按照投标人须知表35.1款规定向招标人缴纳履约保证金。</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35.2 如果中标人没有按照上述履约保证金的规定执行，将视为拒绝签订合同并放弃中标资格，中标人的投标保证金将不予退还。在此情况下，招标人可确定下一中标候选人为中标人，也可以重新开展招标活动。</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36.廉洁自律规定</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36.1招标人的工作人员不得与投标人恶意串通操纵招标活动。</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36.2招标人的工作人员不得接受投标人组织的宴请、旅游、娱乐，不得收受礼品、现金、有价证券等，不得向投标人报销应当由个人承担的费用。</w:t>
      </w:r>
    </w:p>
    <w:p>
      <w:pPr>
        <w:adjustRightInd w:val="0"/>
        <w:snapToGrid w:val="0"/>
        <w:spacing w:line="360" w:lineRule="auto"/>
        <w:rPr>
          <w:rFonts w:ascii="仿宋_GB2312" w:hAnsi="仿宋_GB2312" w:eastAsia="仿宋_GB2312" w:cs="仿宋_GB2312"/>
          <w:b/>
          <w:color w:val="auto"/>
          <w:szCs w:val="21"/>
        </w:rPr>
      </w:pPr>
      <w:r>
        <w:rPr>
          <w:rFonts w:hint="eastAsia" w:ascii="仿宋_GB2312" w:hAnsi="仿宋_GB2312" w:eastAsia="仿宋_GB2312" w:cs="仿宋_GB2312"/>
          <w:b/>
          <w:color w:val="auto"/>
          <w:szCs w:val="21"/>
        </w:rPr>
        <w:t>37.人员回避</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投标人认为招标人及其相关人员有法律法规所列与其他投标人有利害关系的，可以向招标人书面提出回避申请，并说明理由。</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38.质疑与接收</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38.1投标人认为招标文件、招标过程和中标结果使自己的权益受到损害的，可以根据招标文件的有关规定，依法向招标人提出质疑。</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38.2投标人应按照招标文件规定的质疑期内以书面形式通过电子采购平台提出质疑，针对同一采购程序环节的质疑应一次性提出。</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超出法定质疑期的、重复提出的、分次提出的或内容、非书面的，提出质疑的投标人将依法承担不利后果。</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38.3 招标人质疑函接收部门、联系电话和通讯地址, 见投标人须知表38.3款。</w:t>
      </w:r>
    </w:p>
    <w:p>
      <w:pPr>
        <w:adjustRightInd w:val="0"/>
        <w:snapToGrid w:val="0"/>
        <w:spacing w:line="360" w:lineRule="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39.其他</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39.1 本项目采购电子招标投标，电子招标投标的操作手册，投标人自行在电子采购平台相关栏目（首页&gt; 下载专区）下载。</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39.2 投标文件开启过程中若遇需要中止电子投标文件开启的以下情况发生，可由电子采购平台或招标人通知所有投标人新的投标文件开启时间（含解密时间）、地点，投标人应及时查看并在规定的时间内解密。投标人未到达现场参与投标文件开启会的，视为默认投标文件开启会结果。</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（1）电子采购平台系统服务器发生故障，无法访问或无法使用电子采购平台系统；</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（2）电子采购平台系统软件或数据库出现错误，不能进行正常操作的；</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（3）电子采购平台系统发现有安全漏洞，有潜在的泄密危险；</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（4）出现断电事故且短时间内无法恢复供电的；</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（5）其他无法保证招标过程正常进行的情形。</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39.3 若遇不可抗力发生（包括网络瘫痪、服务器损坏、电子采购平台故障短期无法恢复等因素），导致电子采购平台无法正常运行，应终止评审的，应在恢复正常后及时安排时间评审。</w:t>
      </w:r>
    </w:p>
    <w:p>
      <w:pPr>
        <w:adjustRightInd w:val="0"/>
        <w:snapToGrid w:val="0"/>
        <w:spacing w:line="360" w:lineRule="auto"/>
        <w:rPr>
          <w:rFonts w:ascii="仿宋_GB2312" w:hAnsi="仿宋_GB2312" w:eastAsia="仿宋_GB2312" w:cs="仿宋_GB2312"/>
          <w:strike/>
          <w:color w:val="auto"/>
          <w:szCs w:val="21"/>
          <w:highlight w:val="yellow"/>
        </w:rPr>
      </w:pPr>
    </w:p>
    <w:p>
      <w:pPr>
        <w:pStyle w:val="24"/>
        <w:ind w:firstLine="0"/>
        <w:rPr>
          <w:color w:val="auto"/>
        </w:rPr>
      </w:pPr>
    </w:p>
    <w:p>
      <w:pPr>
        <w:rPr>
          <w:rFonts w:ascii="仿宋_GB2312" w:hAnsi="仿宋_GB2312" w:eastAsia="仿宋_GB2312" w:cs="仿宋_GB2312"/>
          <w:color w:val="auto"/>
          <w:szCs w:val="21"/>
        </w:rPr>
      </w:pPr>
      <w:r>
        <w:rPr>
          <w:rFonts w:hint="eastAsia" w:ascii="仿宋_GB2312" w:hAnsi="仿宋_GB2312" w:eastAsia="仿宋_GB2312" w:cs="仿宋_GB2312"/>
          <w:color w:val="auto"/>
          <w:szCs w:val="21"/>
        </w:rPr>
        <w:br w:type="page"/>
      </w:r>
    </w:p>
    <w:p>
      <w:pPr>
        <w:pStyle w:val="2"/>
        <w:adjustRightInd w:val="0"/>
        <w:snapToGrid w:val="0"/>
        <w:spacing w:before="319" w:beforeLines="100" w:after="319" w:afterLines="100" w:line="360" w:lineRule="auto"/>
        <w:jc w:val="center"/>
        <w:rPr>
          <w:rFonts w:ascii="仿宋" w:hAnsi="仿宋" w:eastAsia="仿宋" w:cs="仿宋"/>
          <w:color w:val="auto"/>
          <w:sz w:val="24"/>
        </w:rPr>
      </w:pPr>
      <w:bookmarkStart w:id="10" w:name="_Toc5779_WPSOffice_Level1"/>
      <w:bookmarkStart w:id="11" w:name="_Toc18170"/>
      <w:bookmarkStart w:id="12" w:name="_Toc30334"/>
      <w:r>
        <w:rPr>
          <w:rFonts w:hint="eastAsia" w:ascii="仿宋_GB2312" w:hAnsi="仿宋_GB2312" w:eastAsia="仿宋_GB2312" w:cs="仿宋_GB2312"/>
          <w:color w:val="auto"/>
          <w:sz w:val="30"/>
          <w:szCs w:val="30"/>
        </w:rPr>
        <w:t>第三章 招标人需求</w:t>
      </w:r>
      <w:bookmarkEnd w:id="10"/>
      <w:bookmarkEnd w:id="11"/>
      <w:bookmarkEnd w:id="12"/>
    </w:p>
    <w:p>
      <w:pPr>
        <w:pStyle w:val="24"/>
        <w:ind w:firstLine="0"/>
        <w:rPr>
          <w:rFonts w:hint="eastAsia" w:ascii="仿宋" w:hAnsi="仿宋" w:eastAsia="仿宋" w:cs="仿宋"/>
          <w:color w:val="auto"/>
          <w:lang w:eastAsia="zh-CN"/>
        </w:rPr>
      </w:pPr>
      <w:r>
        <w:rPr>
          <w:rFonts w:hint="eastAsia" w:ascii="仿宋" w:hAnsi="仿宋" w:eastAsia="仿宋" w:cs="仿宋"/>
          <w:b/>
          <w:bCs/>
          <w:color w:val="auto"/>
          <w:spacing w:val="0"/>
          <w:kern w:val="2"/>
          <w:sz w:val="24"/>
          <w:szCs w:val="24"/>
          <w:lang w:val="en-US" w:eastAsia="zh-CN" w:bidi="ar-SA"/>
        </w:rPr>
        <w:t>一、项目名称：</w:t>
      </w:r>
      <w:r>
        <w:rPr>
          <w:rFonts w:hint="eastAsia" w:ascii="仿宋" w:hAnsi="仿宋" w:eastAsia="仿宋" w:cs="仿宋"/>
          <w:color w:val="auto"/>
          <w:lang w:eastAsia="zh-CN"/>
        </w:rPr>
        <w:t>肇庆市港口投资发展有限公司人力资源管理咨询服务项目</w:t>
      </w:r>
    </w:p>
    <w:p>
      <w:pPr>
        <w:pStyle w:val="25"/>
        <w:spacing w:line="360" w:lineRule="auto"/>
        <w:ind w:firstLine="0" w:firstLineChars="0"/>
        <w:rPr>
          <w:rFonts w:ascii="仿宋" w:hAnsi="仿宋" w:eastAsia="仿宋" w:cs="仿宋"/>
          <w:color w:val="auto"/>
          <w:sz w:val="24"/>
        </w:rPr>
      </w:pPr>
      <w:r>
        <w:rPr>
          <w:rFonts w:hint="eastAsia" w:ascii="仿宋" w:hAnsi="仿宋" w:eastAsia="仿宋" w:cs="仿宋"/>
          <w:b/>
          <w:bCs/>
          <w:color w:val="auto"/>
          <w:sz w:val="24"/>
        </w:rPr>
        <w:t>二、</w:t>
      </w:r>
      <w:r>
        <w:rPr>
          <w:rFonts w:hint="eastAsia" w:ascii="仿宋" w:hAnsi="仿宋" w:eastAsia="仿宋" w:cs="仿宋"/>
          <w:b/>
          <w:bCs/>
          <w:color w:val="auto"/>
          <w:sz w:val="24"/>
          <w:lang w:val="en-US" w:eastAsia="zh-CN"/>
        </w:rPr>
        <w:t>服务</w:t>
      </w:r>
      <w:r>
        <w:rPr>
          <w:rFonts w:hint="eastAsia" w:ascii="仿宋" w:hAnsi="仿宋" w:eastAsia="仿宋" w:cs="仿宋"/>
          <w:b/>
          <w:bCs/>
          <w:color w:val="auto"/>
          <w:sz w:val="24"/>
        </w:rPr>
        <w:t>地点：</w:t>
      </w:r>
      <w:r>
        <w:rPr>
          <w:rFonts w:hint="eastAsia" w:ascii="仿宋" w:hAnsi="仿宋" w:eastAsia="仿宋" w:cs="仿宋"/>
          <w:color w:val="auto"/>
          <w:sz w:val="24"/>
        </w:rPr>
        <w:t>肇庆市港口投资发展有限公司指定地点。</w:t>
      </w:r>
    </w:p>
    <w:p>
      <w:pPr>
        <w:pStyle w:val="25"/>
        <w:spacing w:line="360" w:lineRule="auto"/>
        <w:ind w:firstLine="0" w:firstLineChars="0"/>
        <w:rPr>
          <w:rFonts w:ascii="仿宋" w:hAnsi="仿宋" w:eastAsia="仿宋" w:cs="仿宋"/>
          <w:color w:val="auto"/>
          <w:sz w:val="24"/>
        </w:rPr>
      </w:pPr>
      <w:r>
        <w:rPr>
          <w:rFonts w:hint="eastAsia" w:ascii="仿宋" w:hAnsi="仿宋" w:eastAsia="仿宋" w:cs="仿宋"/>
          <w:b/>
          <w:bCs/>
          <w:color w:val="auto"/>
          <w:sz w:val="24"/>
        </w:rPr>
        <w:t>三、</w:t>
      </w:r>
      <w:r>
        <w:rPr>
          <w:rFonts w:hint="eastAsia" w:ascii="仿宋" w:hAnsi="仿宋" w:eastAsia="仿宋" w:cs="仿宋"/>
          <w:b/>
          <w:bCs/>
          <w:color w:val="auto"/>
          <w:sz w:val="24"/>
          <w:lang w:val="en-US" w:eastAsia="zh-CN"/>
        </w:rPr>
        <w:t>项目背景</w:t>
      </w:r>
      <w:r>
        <w:rPr>
          <w:rFonts w:hint="eastAsia" w:ascii="仿宋" w:hAnsi="仿宋" w:eastAsia="仿宋" w:cs="仿宋"/>
          <w:b/>
          <w:bCs/>
          <w:color w:val="auto"/>
          <w:sz w:val="24"/>
        </w:rPr>
        <w:t>：</w:t>
      </w:r>
      <w:r>
        <w:rPr>
          <w:rFonts w:hint="eastAsia" w:ascii="仿宋" w:hAnsi="仿宋" w:eastAsia="仿宋" w:cs="仿宋"/>
          <w:color w:val="auto"/>
          <w:sz w:val="24"/>
        </w:rPr>
        <w:t>在公司向市场化港口运营型企业转型背景下，员工激励体系亟待突破，公司拟开展工资总额、薪酬激励、绩效考核等人力资源管理咨询服务项目，通过开展工资总额机制设计、组织与岗位优化、薪酬激励体系优化、绩效考核体系优化等工作，建立市场化的薪酬绩效机制，有效激发人员活力，助推公司创造更大价值，推动企业高质量发展。</w:t>
      </w:r>
    </w:p>
    <w:p>
      <w:pPr>
        <w:pStyle w:val="25"/>
        <w:spacing w:line="360" w:lineRule="auto"/>
        <w:ind w:firstLine="0" w:firstLineChars="0"/>
        <w:rPr>
          <w:rFonts w:ascii="仿宋" w:hAnsi="仿宋" w:eastAsia="仿宋" w:cs="仿宋"/>
          <w:color w:val="auto"/>
          <w:sz w:val="24"/>
        </w:rPr>
      </w:pPr>
      <w:r>
        <w:rPr>
          <w:rFonts w:hint="eastAsia" w:ascii="仿宋" w:hAnsi="仿宋" w:eastAsia="仿宋" w:cs="仿宋"/>
          <w:b/>
          <w:bCs/>
          <w:color w:val="auto"/>
          <w:sz w:val="24"/>
        </w:rPr>
        <w:t>四、</w:t>
      </w:r>
      <w:r>
        <w:rPr>
          <w:rFonts w:hint="eastAsia" w:ascii="仿宋" w:hAnsi="仿宋" w:eastAsia="仿宋" w:cs="仿宋"/>
          <w:b/>
          <w:bCs/>
          <w:color w:val="auto"/>
          <w:sz w:val="24"/>
          <w:lang w:val="en-US" w:eastAsia="zh-CN"/>
        </w:rPr>
        <w:t>服务范围</w:t>
      </w:r>
      <w:r>
        <w:rPr>
          <w:rFonts w:hint="eastAsia" w:ascii="仿宋" w:hAnsi="仿宋" w:eastAsia="仿宋" w:cs="仿宋"/>
          <w:color w:val="auto"/>
          <w:sz w:val="24"/>
        </w:rPr>
        <w:t>：</w:t>
      </w:r>
    </w:p>
    <w:p>
      <w:pPr>
        <w:pStyle w:val="25"/>
        <w:numPr>
          <w:ilvl w:val="0"/>
          <w:numId w:val="0"/>
        </w:numPr>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rPr>
        <w:t>一</w:t>
      </w:r>
      <w:r>
        <w:rPr>
          <w:rFonts w:hint="eastAsia" w:ascii="仿宋" w:hAnsi="仿宋" w:eastAsia="仿宋" w:cs="仿宋"/>
          <w:color w:val="auto"/>
          <w:sz w:val="24"/>
          <w:lang w:eastAsia="zh-CN"/>
        </w:rPr>
        <w:t>）</w:t>
      </w:r>
      <w:r>
        <w:rPr>
          <w:rFonts w:hint="eastAsia" w:ascii="仿宋" w:hAnsi="仿宋" w:eastAsia="仿宋" w:cs="仿宋"/>
          <w:color w:val="auto"/>
          <w:sz w:val="24"/>
        </w:rPr>
        <w:t>、调研诊断</w:t>
      </w:r>
    </w:p>
    <w:p>
      <w:pPr>
        <w:pStyle w:val="25"/>
        <w:numPr>
          <w:ilvl w:val="0"/>
          <w:numId w:val="0"/>
        </w:numPr>
        <w:spacing w:line="360" w:lineRule="auto"/>
        <w:rPr>
          <w:rFonts w:hint="eastAsia" w:ascii="仿宋" w:hAnsi="仿宋" w:eastAsia="仿宋" w:cs="仿宋"/>
          <w:color w:val="auto"/>
          <w:sz w:val="24"/>
        </w:rPr>
      </w:pPr>
      <w:r>
        <w:rPr>
          <w:rFonts w:hint="eastAsia" w:ascii="仿宋" w:hAnsi="仿宋" w:eastAsia="仿宋" w:cs="仿宋"/>
          <w:color w:val="auto"/>
          <w:sz w:val="24"/>
        </w:rPr>
        <w:t>1.工作内容及要求：组织开展内外部调研，根据岗位与薪酬现状，开展内外部调研与对标。</w:t>
      </w:r>
    </w:p>
    <w:p>
      <w:pPr>
        <w:pStyle w:val="25"/>
        <w:numPr>
          <w:ilvl w:val="0"/>
          <w:numId w:val="0"/>
        </w:numPr>
        <w:spacing w:line="360" w:lineRule="auto"/>
        <w:rPr>
          <w:rFonts w:hint="eastAsia" w:ascii="仿宋" w:hAnsi="仿宋" w:eastAsia="仿宋" w:cs="仿宋"/>
          <w:color w:val="auto"/>
          <w:sz w:val="24"/>
        </w:rPr>
      </w:pPr>
      <w:r>
        <w:rPr>
          <w:rFonts w:hint="eastAsia" w:ascii="仿宋" w:hAnsi="仿宋" w:eastAsia="仿宋" w:cs="仿宋"/>
          <w:color w:val="auto"/>
          <w:sz w:val="24"/>
        </w:rPr>
        <w:t>2.项目成果：《人力资源管理调研诊断报告及初步解决思路》。</w:t>
      </w:r>
    </w:p>
    <w:p>
      <w:pPr>
        <w:pStyle w:val="25"/>
        <w:numPr>
          <w:ilvl w:val="0"/>
          <w:numId w:val="0"/>
        </w:numPr>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rPr>
        <w:t>二</w:t>
      </w:r>
      <w:r>
        <w:rPr>
          <w:rFonts w:hint="eastAsia" w:ascii="仿宋" w:hAnsi="仿宋" w:eastAsia="仿宋" w:cs="仿宋"/>
          <w:color w:val="auto"/>
          <w:sz w:val="24"/>
          <w:lang w:eastAsia="zh-CN"/>
        </w:rPr>
        <w:t>）</w:t>
      </w:r>
      <w:r>
        <w:rPr>
          <w:rFonts w:hint="eastAsia" w:ascii="仿宋" w:hAnsi="仿宋" w:eastAsia="仿宋" w:cs="仿宋"/>
          <w:color w:val="auto"/>
          <w:sz w:val="24"/>
        </w:rPr>
        <w:t>、工资总额优化设计</w:t>
      </w:r>
    </w:p>
    <w:p>
      <w:pPr>
        <w:pStyle w:val="25"/>
        <w:numPr>
          <w:ilvl w:val="0"/>
          <w:numId w:val="0"/>
        </w:numPr>
        <w:spacing w:line="360" w:lineRule="auto"/>
        <w:rPr>
          <w:rFonts w:hint="eastAsia" w:ascii="仿宋" w:hAnsi="仿宋" w:eastAsia="仿宋" w:cs="仿宋"/>
          <w:color w:val="auto"/>
          <w:sz w:val="24"/>
        </w:rPr>
      </w:pPr>
      <w:r>
        <w:rPr>
          <w:rFonts w:hint="eastAsia" w:ascii="仿宋" w:hAnsi="仿宋" w:eastAsia="仿宋" w:cs="仿宋"/>
          <w:color w:val="auto"/>
          <w:sz w:val="24"/>
        </w:rPr>
        <w:t>1.工作内容及要求：设计工资总额决定机制改革方案和工资总额管理办法，实现工资决定和增长与劳动力市场基本适应，与国有企业经济效益和劳动生产率挂钩。</w:t>
      </w:r>
    </w:p>
    <w:p>
      <w:pPr>
        <w:pStyle w:val="25"/>
        <w:numPr>
          <w:ilvl w:val="0"/>
          <w:numId w:val="0"/>
        </w:numPr>
        <w:spacing w:line="360" w:lineRule="auto"/>
        <w:rPr>
          <w:rFonts w:hint="eastAsia" w:ascii="仿宋" w:hAnsi="仿宋" w:eastAsia="仿宋" w:cs="仿宋"/>
          <w:color w:val="auto"/>
          <w:sz w:val="24"/>
        </w:rPr>
      </w:pPr>
      <w:r>
        <w:rPr>
          <w:rFonts w:hint="eastAsia" w:ascii="仿宋" w:hAnsi="仿宋" w:eastAsia="仿宋" w:cs="仿宋"/>
          <w:color w:val="auto"/>
          <w:sz w:val="24"/>
        </w:rPr>
        <w:t>2.项目成果：《工资总额管理办法》。</w:t>
      </w:r>
    </w:p>
    <w:p>
      <w:pPr>
        <w:pStyle w:val="25"/>
        <w:numPr>
          <w:ilvl w:val="0"/>
          <w:numId w:val="0"/>
        </w:numPr>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rPr>
        <w:t>三</w:t>
      </w:r>
      <w:r>
        <w:rPr>
          <w:rFonts w:hint="eastAsia" w:ascii="仿宋" w:hAnsi="仿宋" w:eastAsia="仿宋" w:cs="仿宋"/>
          <w:color w:val="auto"/>
          <w:sz w:val="24"/>
          <w:lang w:eastAsia="zh-CN"/>
        </w:rPr>
        <w:t>）</w:t>
      </w:r>
      <w:r>
        <w:rPr>
          <w:rFonts w:hint="eastAsia" w:ascii="仿宋" w:hAnsi="仿宋" w:eastAsia="仿宋" w:cs="仿宋"/>
          <w:color w:val="auto"/>
          <w:sz w:val="24"/>
        </w:rPr>
        <w:t>、组织与岗位体系优化</w:t>
      </w:r>
    </w:p>
    <w:p>
      <w:pPr>
        <w:pStyle w:val="25"/>
        <w:numPr>
          <w:ilvl w:val="0"/>
          <w:numId w:val="0"/>
        </w:numPr>
        <w:spacing w:line="360" w:lineRule="auto"/>
        <w:rPr>
          <w:rFonts w:hint="eastAsia" w:ascii="仿宋" w:hAnsi="仿宋" w:eastAsia="仿宋" w:cs="仿宋"/>
          <w:color w:val="auto"/>
          <w:sz w:val="24"/>
        </w:rPr>
      </w:pPr>
      <w:r>
        <w:rPr>
          <w:rFonts w:hint="eastAsia" w:ascii="仿宋" w:hAnsi="仿宋" w:eastAsia="仿宋" w:cs="仿宋"/>
          <w:color w:val="auto"/>
          <w:sz w:val="24"/>
        </w:rPr>
        <w:t>1.工作内容及要求：全面开展访谈调研，优化完善组织架构体系，优化部门设置，制定清晰的部门职能说明书；细化梳理岗位，开展岗位标准化建设，形岗位设置方案，编制清晰的岗位职责说明书。</w:t>
      </w:r>
    </w:p>
    <w:p>
      <w:pPr>
        <w:pStyle w:val="25"/>
        <w:numPr>
          <w:ilvl w:val="0"/>
          <w:numId w:val="0"/>
        </w:numPr>
        <w:spacing w:line="360" w:lineRule="auto"/>
        <w:rPr>
          <w:rFonts w:hint="eastAsia" w:ascii="仿宋" w:hAnsi="仿宋" w:eastAsia="仿宋" w:cs="仿宋"/>
          <w:color w:val="auto"/>
          <w:sz w:val="24"/>
        </w:rPr>
      </w:pPr>
      <w:r>
        <w:rPr>
          <w:rFonts w:hint="eastAsia" w:ascii="仿宋" w:hAnsi="仿宋" w:eastAsia="仿宋" w:cs="仿宋"/>
          <w:color w:val="auto"/>
          <w:sz w:val="24"/>
        </w:rPr>
        <w:t>2.项目成果：《组织架构优化方案》《公司部门职责说明书汇编》《公司岗位说明书汇编》。</w:t>
      </w:r>
    </w:p>
    <w:p>
      <w:pPr>
        <w:pStyle w:val="25"/>
        <w:numPr>
          <w:ilvl w:val="0"/>
          <w:numId w:val="0"/>
        </w:numPr>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rPr>
        <w:t>四</w:t>
      </w:r>
      <w:r>
        <w:rPr>
          <w:rFonts w:hint="eastAsia" w:ascii="仿宋" w:hAnsi="仿宋" w:eastAsia="仿宋" w:cs="仿宋"/>
          <w:color w:val="auto"/>
          <w:sz w:val="24"/>
          <w:lang w:eastAsia="zh-CN"/>
        </w:rPr>
        <w:t>）</w:t>
      </w:r>
      <w:r>
        <w:rPr>
          <w:rFonts w:hint="eastAsia" w:ascii="仿宋" w:hAnsi="仿宋" w:eastAsia="仿宋" w:cs="仿宋"/>
          <w:color w:val="auto"/>
          <w:sz w:val="24"/>
        </w:rPr>
        <w:t>、薪酬激励体系优化</w:t>
      </w:r>
    </w:p>
    <w:p>
      <w:pPr>
        <w:pStyle w:val="25"/>
        <w:numPr>
          <w:ilvl w:val="0"/>
          <w:numId w:val="0"/>
        </w:numPr>
        <w:spacing w:line="360" w:lineRule="auto"/>
        <w:rPr>
          <w:rFonts w:hint="eastAsia" w:ascii="仿宋" w:hAnsi="仿宋" w:eastAsia="仿宋" w:cs="仿宋"/>
          <w:color w:val="auto"/>
          <w:sz w:val="24"/>
        </w:rPr>
      </w:pPr>
      <w:r>
        <w:rPr>
          <w:rFonts w:hint="eastAsia" w:ascii="仿宋" w:hAnsi="仿宋" w:eastAsia="仿宋" w:cs="仿宋"/>
          <w:color w:val="auto"/>
          <w:sz w:val="24"/>
        </w:rPr>
        <w:t>1.工作内容及要求:进行外部薪酬调研，将当前的薪酬数据与外部市场进行比对，保障外部公平性；开展岗位价值分层评估，建立岗位价值与业绩导向的薪酬体系，按岗定薪、分类分级管理，合理拉开薪酬差距，与岗位价值匹配；根据岗位价值评估结果完成新的薪酬套改。</w:t>
      </w:r>
    </w:p>
    <w:p>
      <w:pPr>
        <w:pStyle w:val="25"/>
        <w:numPr>
          <w:ilvl w:val="0"/>
          <w:numId w:val="0"/>
        </w:numPr>
        <w:spacing w:line="360" w:lineRule="auto"/>
        <w:rPr>
          <w:rFonts w:hint="eastAsia" w:ascii="仿宋" w:hAnsi="仿宋" w:eastAsia="仿宋" w:cs="仿宋"/>
          <w:color w:val="auto"/>
          <w:sz w:val="24"/>
        </w:rPr>
      </w:pPr>
      <w:r>
        <w:rPr>
          <w:rFonts w:hint="eastAsia" w:ascii="仿宋" w:hAnsi="仿宋" w:eastAsia="仿宋" w:cs="仿宋"/>
          <w:color w:val="auto"/>
          <w:sz w:val="24"/>
        </w:rPr>
        <w:t>2.项目成果：《港口公司及项目公司薪酬优化方案》、《薪酬管理办法》、《薪酬测算报告》。</w:t>
      </w:r>
    </w:p>
    <w:p>
      <w:pPr>
        <w:pStyle w:val="25"/>
        <w:numPr>
          <w:ilvl w:val="0"/>
          <w:numId w:val="0"/>
        </w:numPr>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rPr>
        <w:t>五</w:t>
      </w:r>
      <w:r>
        <w:rPr>
          <w:rFonts w:hint="eastAsia" w:ascii="仿宋" w:hAnsi="仿宋" w:eastAsia="仿宋" w:cs="仿宋"/>
          <w:color w:val="auto"/>
          <w:sz w:val="24"/>
          <w:lang w:eastAsia="zh-CN"/>
        </w:rPr>
        <w:t>）</w:t>
      </w:r>
      <w:r>
        <w:rPr>
          <w:rFonts w:hint="eastAsia" w:ascii="仿宋" w:hAnsi="仿宋" w:eastAsia="仿宋" w:cs="仿宋"/>
          <w:color w:val="auto"/>
          <w:sz w:val="24"/>
        </w:rPr>
        <w:t>、绩效考核体系优化</w:t>
      </w:r>
    </w:p>
    <w:p>
      <w:pPr>
        <w:pStyle w:val="25"/>
        <w:numPr>
          <w:ilvl w:val="0"/>
          <w:numId w:val="0"/>
        </w:numPr>
        <w:spacing w:line="360" w:lineRule="auto"/>
        <w:rPr>
          <w:rFonts w:hint="eastAsia" w:ascii="仿宋" w:hAnsi="仿宋" w:eastAsia="仿宋" w:cs="仿宋"/>
          <w:color w:val="auto"/>
          <w:sz w:val="24"/>
        </w:rPr>
      </w:pPr>
      <w:r>
        <w:rPr>
          <w:rFonts w:hint="eastAsia" w:ascii="仿宋" w:hAnsi="仿宋" w:eastAsia="仿宋" w:cs="仿宋"/>
          <w:color w:val="auto"/>
          <w:sz w:val="24"/>
        </w:rPr>
        <w:t>1.工作内容及要求:建立定性与定量相结合的全员岗位绩效薪酬体系，绩效目标确定流程合理；评价标准及考核办法具有可操作性，通过考核拉开薪酬差距；考核体系覆盖全体员工。</w:t>
      </w:r>
    </w:p>
    <w:p>
      <w:pPr>
        <w:pStyle w:val="25"/>
        <w:numPr>
          <w:ilvl w:val="0"/>
          <w:numId w:val="0"/>
        </w:numPr>
        <w:spacing w:line="360" w:lineRule="auto"/>
        <w:rPr>
          <w:rFonts w:ascii="仿宋" w:hAnsi="仿宋" w:eastAsia="仿宋" w:cs="仿宋"/>
          <w:color w:val="auto"/>
          <w:sz w:val="24"/>
        </w:rPr>
      </w:pPr>
      <w:r>
        <w:rPr>
          <w:rFonts w:hint="eastAsia" w:ascii="仿宋" w:hAnsi="仿宋" w:eastAsia="仿宋" w:cs="仿宋"/>
          <w:color w:val="auto"/>
          <w:sz w:val="24"/>
        </w:rPr>
        <w:t>2.项目成果:《港口公司及项目公司绩效管理方案》、《组织绩效管理办法》(含《组织绩效指标库》)、《组织绩效考核表汇总》、《岗位绩效管理办法》。</w:t>
      </w:r>
    </w:p>
    <w:p>
      <w:pPr>
        <w:pStyle w:val="25"/>
        <w:spacing w:line="360" w:lineRule="auto"/>
        <w:ind w:firstLine="0" w:firstLineChars="0"/>
        <w:rPr>
          <w:rFonts w:ascii="仿宋" w:hAnsi="仿宋" w:eastAsia="仿宋" w:cs="仿宋"/>
          <w:color w:val="auto"/>
          <w:sz w:val="24"/>
        </w:rPr>
      </w:pPr>
      <w:r>
        <w:rPr>
          <w:rFonts w:hint="eastAsia" w:ascii="仿宋" w:hAnsi="仿宋" w:eastAsia="仿宋" w:cs="仿宋"/>
          <w:b/>
          <w:bCs/>
          <w:color w:val="auto"/>
          <w:sz w:val="24"/>
        </w:rPr>
        <w:t>五、</w:t>
      </w:r>
      <w:r>
        <w:rPr>
          <w:rFonts w:hint="eastAsia" w:ascii="仿宋" w:hAnsi="仿宋" w:eastAsia="仿宋" w:cs="仿宋"/>
          <w:b/>
          <w:bCs/>
          <w:color w:val="auto"/>
          <w:sz w:val="24"/>
          <w:lang w:val="en-US" w:eastAsia="zh-CN"/>
        </w:rPr>
        <w:t>服务质量标准</w:t>
      </w:r>
      <w:r>
        <w:rPr>
          <w:rFonts w:hint="eastAsia" w:ascii="仿宋" w:hAnsi="仿宋" w:eastAsia="仿宋" w:cs="仿宋"/>
          <w:b/>
          <w:bCs/>
          <w:color w:val="auto"/>
          <w:sz w:val="24"/>
        </w:rPr>
        <w:t>：</w:t>
      </w:r>
      <w:r>
        <w:rPr>
          <w:rFonts w:hint="eastAsia" w:ascii="仿宋" w:hAnsi="仿宋" w:eastAsia="仿宋" w:cs="仿宋"/>
          <w:color w:val="auto"/>
          <w:sz w:val="24"/>
        </w:rPr>
        <w:t>执行国家、省或行业现行的验收标准及规范，符合招标人需求</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并最终通过招标人验收</w:t>
      </w:r>
      <w:r>
        <w:rPr>
          <w:rFonts w:hint="eastAsia" w:ascii="仿宋" w:hAnsi="仿宋" w:eastAsia="仿宋" w:cs="仿宋"/>
          <w:color w:val="auto"/>
          <w:sz w:val="24"/>
        </w:rPr>
        <w:t>。</w:t>
      </w:r>
    </w:p>
    <w:p>
      <w:pPr>
        <w:pStyle w:val="25"/>
        <w:spacing w:line="360" w:lineRule="auto"/>
        <w:ind w:firstLine="0" w:firstLineChars="0"/>
        <w:rPr>
          <w:rFonts w:ascii="仿宋" w:hAnsi="仿宋" w:eastAsia="仿宋" w:cs="仿宋"/>
          <w:b/>
          <w:bCs/>
          <w:color w:val="auto"/>
          <w:sz w:val="24"/>
        </w:rPr>
      </w:pPr>
      <w:r>
        <w:rPr>
          <w:rFonts w:hint="eastAsia" w:ascii="仿宋" w:hAnsi="仿宋" w:eastAsia="仿宋" w:cs="仿宋"/>
          <w:b/>
          <w:bCs/>
          <w:color w:val="auto"/>
          <w:sz w:val="24"/>
        </w:rPr>
        <w:t>六、项目期限、团队要求及后续服务：</w:t>
      </w:r>
    </w:p>
    <w:p>
      <w:pPr>
        <w:pStyle w:val="25"/>
        <w:numPr>
          <w:ilvl w:val="0"/>
          <w:numId w:val="0"/>
        </w:numPr>
        <w:spacing w:line="360" w:lineRule="auto"/>
        <w:rPr>
          <w:rFonts w:hint="eastAsia" w:ascii="仿宋" w:hAnsi="仿宋" w:eastAsia="仿宋" w:cs="仿宋"/>
          <w:color w:val="auto"/>
          <w:sz w:val="24"/>
        </w:rPr>
      </w:pPr>
      <w:r>
        <w:rPr>
          <w:rFonts w:hint="eastAsia" w:ascii="仿宋" w:hAnsi="仿宋" w:eastAsia="仿宋" w:cs="仿宋"/>
          <w:color w:val="auto"/>
          <w:sz w:val="24"/>
        </w:rPr>
        <w:t>1.项目期限：本项目实施期限为3个月。</w:t>
      </w:r>
    </w:p>
    <w:p>
      <w:pPr>
        <w:pStyle w:val="25"/>
        <w:numPr>
          <w:ilvl w:val="0"/>
          <w:numId w:val="0"/>
        </w:numPr>
        <w:spacing w:line="360" w:lineRule="auto"/>
        <w:rPr>
          <w:rFonts w:ascii="仿宋" w:hAnsi="仿宋" w:eastAsia="仿宋" w:cs="仿宋"/>
          <w:color w:val="auto"/>
          <w:sz w:val="24"/>
        </w:rPr>
      </w:pPr>
      <w:r>
        <w:rPr>
          <w:rFonts w:hint="eastAsia" w:ascii="仿宋" w:hAnsi="仿宋" w:eastAsia="仿宋" w:cs="仿宋"/>
          <w:color w:val="auto"/>
          <w:sz w:val="24"/>
        </w:rPr>
        <w:t>2.团队人员配置要求：本项目至少配置2 位实施人员，包括1名项目经理及1名项目成员。</w:t>
      </w:r>
    </w:p>
    <w:p>
      <w:pPr>
        <w:pStyle w:val="25"/>
        <w:spacing w:line="360" w:lineRule="auto"/>
        <w:ind w:firstLine="0" w:firstLineChars="0"/>
        <w:rPr>
          <w:rFonts w:hint="eastAsia" w:ascii="仿宋" w:hAnsi="仿宋" w:eastAsia="仿宋" w:cs="仿宋"/>
          <w:b/>
          <w:bCs/>
          <w:color w:val="auto"/>
          <w:sz w:val="24"/>
        </w:rPr>
      </w:pPr>
      <w:r>
        <w:rPr>
          <w:rFonts w:hint="eastAsia" w:ascii="仿宋" w:hAnsi="仿宋" w:eastAsia="仿宋" w:cs="仿宋"/>
          <w:b/>
          <w:bCs/>
          <w:color w:val="auto"/>
          <w:sz w:val="24"/>
        </w:rPr>
        <w:t>七、</w:t>
      </w:r>
      <w:r>
        <w:rPr>
          <w:rFonts w:hint="eastAsia" w:ascii="仿宋" w:hAnsi="仿宋" w:eastAsia="仿宋" w:cs="仿宋"/>
          <w:b/>
          <w:bCs/>
          <w:color w:val="auto"/>
          <w:sz w:val="24"/>
          <w:lang w:val="en-US" w:eastAsia="zh-CN"/>
        </w:rPr>
        <w:t>服务费的支付</w:t>
      </w:r>
      <w:r>
        <w:rPr>
          <w:rFonts w:hint="eastAsia" w:ascii="仿宋" w:hAnsi="仿宋" w:eastAsia="仿宋" w:cs="仿宋"/>
          <w:b/>
          <w:bCs/>
          <w:color w:val="auto"/>
          <w:sz w:val="24"/>
        </w:rPr>
        <w:t>：</w:t>
      </w:r>
    </w:p>
    <w:p>
      <w:pPr>
        <w:pStyle w:val="25"/>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本项目分3期支付：</w:t>
      </w:r>
    </w:p>
    <w:p>
      <w:pPr>
        <w:pStyle w:val="25"/>
        <w:spacing w:line="360" w:lineRule="auto"/>
        <w:ind w:left="0" w:leftChars="0" w:firstLine="0" w:firstLineChars="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1.合同签订之日起15日内，支付合同总额的30%；</w:t>
      </w:r>
    </w:p>
    <w:p>
      <w:pPr>
        <w:pStyle w:val="25"/>
        <w:spacing w:line="360" w:lineRule="auto"/>
        <w:ind w:left="0" w:leftChars="0" w:firstLine="0" w:firstLineChars="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2.初步成果文件提交并经招标人认可之日起15日内，支付合同总额的20%；</w:t>
      </w:r>
    </w:p>
    <w:p>
      <w:pPr>
        <w:pStyle w:val="25"/>
        <w:spacing w:line="360" w:lineRule="auto"/>
        <w:ind w:left="0" w:leftChars="0" w:firstLine="0" w:firstLineChars="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3.中标人根据招标文件要求完成全部工作并最终成果文件经招标人验收通过之日起15日内，支付合同总额的50%；</w:t>
      </w:r>
    </w:p>
    <w:p>
      <w:pPr>
        <w:pStyle w:val="25"/>
        <w:spacing w:line="360" w:lineRule="auto"/>
        <w:ind w:left="0" w:leftChars="0"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付款条件：付款前须向招标人提供书面申请和相应金额且符合招标人所在地税务主管机关要求的增值税专用发票，否则招标人可拒付并不承担任何责任。</w:t>
      </w:r>
    </w:p>
    <w:p>
      <w:pPr>
        <w:pStyle w:val="25"/>
        <w:spacing w:line="360" w:lineRule="auto"/>
        <w:ind w:firstLine="0" w:firstLineChars="0"/>
        <w:rPr>
          <w:rFonts w:hint="default"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八</w:t>
      </w:r>
      <w:r>
        <w:rPr>
          <w:rFonts w:hint="eastAsia" w:ascii="仿宋" w:hAnsi="仿宋" w:eastAsia="仿宋" w:cs="仿宋"/>
          <w:b/>
          <w:bCs/>
          <w:color w:val="auto"/>
          <w:sz w:val="24"/>
        </w:rPr>
        <w:t>、</w:t>
      </w:r>
      <w:r>
        <w:rPr>
          <w:rFonts w:hint="eastAsia" w:ascii="仿宋" w:hAnsi="仿宋" w:eastAsia="仿宋" w:cs="仿宋"/>
          <w:b/>
          <w:bCs/>
          <w:color w:val="auto"/>
          <w:sz w:val="24"/>
          <w:lang w:val="en-US" w:eastAsia="zh-CN"/>
        </w:rPr>
        <w:t>服务成果清单：</w:t>
      </w:r>
    </w:p>
    <w:p>
      <w:pPr>
        <w:pStyle w:val="25"/>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最终成果包括但不限于《人力资源管理调研诊断报告及初步解决思路》、《工资总额管理办法》、《组织架构优化方案》、《公司部门职责说明书汇编》、《公司岗位说明书汇编》、《港口公司及项目公司薪酬优化方案》、《薪酬管理办法》、《薪酬测算报告》、《港口公司及项目公司绩效管理方案》、《组织绩效管理办法》(含《组织绩效指标库》)、《组织绩效考核表汇总》、《岗位绩效管理办法》。</w:t>
      </w:r>
    </w:p>
    <w:p>
      <w:pPr>
        <w:pStyle w:val="25"/>
        <w:spacing w:line="360" w:lineRule="auto"/>
        <w:ind w:firstLine="480"/>
        <w:rPr>
          <w:rFonts w:ascii="仿宋" w:hAnsi="仿宋" w:eastAsia="仿宋" w:cs="仿宋"/>
          <w:color w:val="auto"/>
          <w:sz w:val="24"/>
        </w:rPr>
      </w:pPr>
      <w:r>
        <w:rPr>
          <w:rFonts w:hint="eastAsia" w:ascii="仿宋" w:hAnsi="仿宋" w:eastAsia="仿宋" w:cs="仿宋"/>
          <w:color w:val="auto"/>
          <w:sz w:val="24"/>
          <w:lang w:val="en-US" w:eastAsia="zh-CN"/>
        </w:rPr>
        <w:t>成果文件呈现性质包括但不限于：PPT、WORD、EXCEL。</w:t>
      </w:r>
      <w:r>
        <w:rPr>
          <w:rFonts w:hint="eastAsia" w:ascii="仿宋" w:hAnsi="仿宋" w:eastAsia="仿宋" w:cs="仿宋"/>
          <w:color w:val="auto"/>
          <w:sz w:val="24"/>
        </w:rPr>
        <w:t xml:space="preserve">  </w:t>
      </w:r>
    </w:p>
    <w:p>
      <w:pPr>
        <w:rPr>
          <w:rFonts w:ascii="仿宋_GB2312" w:hAnsi="仿宋_GB2312" w:eastAsia="仿宋_GB2312" w:cs="仿宋_GB2312"/>
          <w:color w:val="auto"/>
          <w:szCs w:val="21"/>
        </w:rPr>
      </w:pPr>
      <w:bookmarkStart w:id="13" w:name="_Toc10646"/>
      <w:bookmarkStart w:id="14" w:name="_Toc15216_WPSOffice_Level1"/>
      <w:r>
        <w:rPr>
          <w:rFonts w:hint="eastAsia" w:ascii="仿宋" w:hAnsi="仿宋" w:eastAsia="仿宋" w:cs="仿宋"/>
          <w:color w:val="auto"/>
          <w:sz w:val="24"/>
        </w:rPr>
        <w:br w:type="page"/>
      </w:r>
      <w:bookmarkEnd w:id="13"/>
      <w:bookmarkEnd w:id="14"/>
    </w:p>
    <w:p>
      <w:pPr>
        <w:pStyle w:val="2"/>
        <w:adjustRightInd w:val="0"/>
        <w:snapToGrid w:val="0"/>
        <w:spacing w:before="319" w:beforeLines="100" w:after="319" w:afterLines="100" w:line="360" w:lineRule="auto"/>
        <w:jc w:val="center"/>
        <w:rPr>
          <w:rFonts w:ascii="仿宋_GB2312" w:hAnsi="仿宋_GB2312" w:eastAsia="仿宋_GB2312" w:cs="仿宋_GB2312"/>
          <w:color w:val="auto"/>
        </w:rPr>
      </w:pPr>
      <w:bookmarkStart w:id="15" w:name="_Toc31475"/>
      <w:r>
        <w:rPr>
          <w:rFonts w:hint="eastAsia" w:ascii="仿宋_GB2312" w:hAnsi="仿宋_GB2312" w:eastAsia="仿宋_GB2312" w:cs="仿宋_GB2312"/>
          <w:color w:val="auto"/>
        </w:rPr>
        <w:t>第四章 评审方法（综合评分法）</w:t>
      </w:r>
      <w:bookmarkEnd w:id="15"/>
    </w:p>
    <w:p>
      <w:pPr>
        <w:adjustRightInd w:val="0"/>
        <w:snapToGrid w:val="0"/>
        <w:spacing w:line="360" w:lineRule="auto"/>
        <w:ind w:firstLine="420" w:firstLineChars="200"/>
        <w:rPr>
          <w:rFonts w:ascii="仿宋_GB2312" w:hAnsi="仿宋_GB2312" w:eastAsia="仿宋_GB2312" w:cs="仿宋_GB2312"/>
          <w:b/>
          <w:color w:val="auto"/>
          <w:kern w:val="0"/>
          <w:szCs w:val="21"/>
        </w:rPr>
      </w:pPr>
      <w:r>
        <w:rPr>
          <w:rFonts w:hint="eastAsia" w:ascii="仿宋_GB2312" w:hAnsi="仿宋_GB2312" w:eastAsia="仿宋_GB2312" w:cs="仿宋_GB2312"/>
          <w:bCs/>
          <w:color w:val="auto"/>
          <w:kern w:val="0"/>
          <w:szCs w:val="21"/>
        </w:rPr>
        <w:t>本项目将按照招标文件第二章投标人须知中“六 评审”、“七 确定中标”及本章的规定评审。</w:t>
      </w:r>
    </w:p>
    <w:p>
      <w:pPr>
        <w:adjustRightInd w:val="0"/>
        <w:snapToGrid w:val="0"/>
        <w:spacing w:line="360" w:lineRule="auto"/>
        <w:ind w:firstLine="422" w:firstLineChars="200"/>
        <w:rPr>
          <w:rFonts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一、评审方法</w:t>
      </w:r>
    </w:p>
    <w:p>
      <w:pPr>
        <w:adjustRightInd w:val="0"/>
        <w:snapToGrid w:val="0"/>
        <w:spacing w:line="360" w:lineRule="auto"/>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综合评分法。</w:t>
      </w:r>
    </w:p>
    <w:p>
      <w:pPr>
        <w:adjustRightInd w:val="0"/>
        <w:snapToGrid w:val="0"/>
        <w:spacing w:line="360" w:lineRule="auto"/>
        <w:ind w:firstLine="422" w:firstLineChars="200"/>
        <w:textAlignment w:val="baseline"/>
        <w:rPr>
          <w:rFonts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二、评审原则及程序</w:t>
      </w:r>
    </w:p>
    <w:p>
      <w:pPr>
        <w:adjustRightInd w:val="0"/>
        <w:snapToGrid w:val="0"/>
        <w:spacing w:line="360" w:lineRule="auto"/>
        <w:ind w:firstLine="422" w:firstLineChars="200"/>
        <w:textAlignment w:val="baseline"/>
        <w:rPr>
          <w:rFonts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（一）评审原则</w:t>
      </w:r>
    </w:p>
    <w:p>
      <w:pPr>
        <w:adjustRightInd w:val="0"/>
        <w:snapToGrid w:val="0"/>
        <w:spacing w:line="360" w:lineRule="auto"/>
        <w:ind w:firstLine="420" w:firstLineChars="200"/>
        <w:textAlignment w:val="baseline"/>
        <w:rPr>
          <w:rFonts w:ascii="仿宋_GB2312" w:hAnsi="仿宋_GB2312" w:eastAsia="仿宋_GB2312" w:cs="仿宋_GB2312"/>
          <w:color w:val="auto"/>
          <w:kern w:val="0"/>
        </w:rPr>
      </w:pPr>
      <w:r>
        <w:rPr>
          <w:rFonts w:hint="eastAsia" w:ascii="仿宋_GB2312" w:hAnsi="仿宋_GB2312" w:eastAsia="仿宋_GB2312" w:cs="仿宋_GB2312"/>
          <w:color w:val="auto"/>
          <w:kern w:val="0"/>
        </w:rPr>
        <w:t>评审小组应当遵</w:t>
      </w:r>
      <w:r>
        <w:rPr>
          <w:rFonts w:hint="eastAsia" w:ascii="仿宋_GB2312" w:hAnsi="仿宋_GB2312" w:eastAsia="仿宋_GB2312" w:cs="仿宋_GB2312"/>
          <w:color w:val="auto"/>
          <w:szCs w:val="21"/>
        </w:rPr>
        <w:t>纪守法，客观、公正、廉洁地履行职责</w:t>
      </w:r>
      <w:r>
        <w:rPr>
          <w:rFonts w:hint="eastAsia" w:ascii="仿宋_GB2312" w:hAnsi="仿宋_GB2312" w:eastAsia="仿宋_GB2312" w:cs="仿宋_GB2312"/>
          <w:color w:val="auto"/>
          <w:kern w:val="0"/>
        </w:rPr>
        <w:t>，根据</w:t>
      </w:r>
      <w:r>
        <w:rPr>
          <w:rFonts w:hint="eastAsia" w:ascii="仿宋_GB2312" w:hAnsi="仿宋_GB2312" w:eastAsia="仿宋_GB2312" w:cs="仿宋_GB2312"/>
          <w:color w:val="auto"/>
          <w:szCs w:val="21"/>
        </w:rPr>
        <w:t>招标文件</w:t>
      </w:r>
      <w:r>
        <w:rPr>
          <w:rFonts w:hint="eastAsia" w:ascii="仿宋_GB2312" w:hAnsi="仿宋_GB2312" w:eastAsia="仿宋_GB2312" w:cs="仿宋_GB2312"/>
          <w:color w:val="auto"/>
          <w:kern w:val="0"/>
        </w:rPr>
        <w:t>规定的评审程序、评审方法和评审标准进行独立评审。</w:t>
      </w:r>
    </w:p>
    <w:p>
      <w:pPr>
        <w:adjustRightInd w:val="0"/>
        <w:snapToGrid w:val="0"/>
        <w:spacing w:line="360" w:lineRule="auto"/>
        <w:ind w:firstLine="422" w:firstLineChars="200"/>
        <w:textAlignment w:val="baseline"/>
        <w:rPr>
          <w:rFonts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（二）评审程序</w:t>
      </w:r>
    </w:p>
    <w:p>
      <w:pPr>
        <w:adjustRightInd w:val="0"/>
        <w:snapToGrid w:val="0"/>
        <w:spacing w:line="360" w:lineRule="auto"/>
        <w:ind w:firstLine="422" w:firstLineChars="200"/>
        <w:textAlignment w:val="baseline"/>
        <w:rPr>
          <w:rFonts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1、确认招标文件</w:t>
      </w:r>
    </w:p>
    <w:p>
      <w:pPr>
        <w:adjustRightInd w:val="0"/>
        <w:snapToGrid w:val="0"/>
        <w:spacing w:line="360" w:lineRule="auto"/>
        <w:ind w:firstLine="420" w:firstLineChars="200"/>
        <w:textAlignment w:val="baseline"/>
        <w:rPr>
          <w:rFonts w:ascii="仿宋_GB2312" w:hAnsi="仿宋_GB2312" w:eastAsia="仿宋_GB2312" w:cs="仿宋_GB2312"/>
          <w:b/>
          <w:color w:val="auto"/>
          <w:kern w:val="0"/>
          <w:szCs w:val="21"/>
        </w:rPr>
      </w:pPr>
      <w:r>
        <w:rPr>
          <w:rFonts w:hint="eastAsia" w:ascii="仿宋_GB2312" w:hAnsi="仿宋_GB2312" w:eastAsia="仿宋_GB2312" w:cs="仿宋_GB2312"/>
          <w:color w:val="auto"/>
          <w:kern w:val="0"/>
        </w:rPr>
        <w:t>招标文件内容违反国家有关强制性规定的，评审小组应当停止评审并向招标人说明情况。</w:t>
      </w:r>
    </w:p>
    <w:p>
      <w:pPr>
        <w:adjustRightInd w:val="0"/>
        <w:snapToGrid w:val="0"/>
        <w:spacing w:line="360" w:lineRule="auto"/>
        <w:ind w:firstLine="422" w:firstLineChars="200"/>
        <w:textAlignment w:val="baseline"/>
        <w:rPr>
          <w:rFonts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2资格审查</w:t>
      </w:r>
    </w:p>
    <w:p>
      <w:pPr>
        <w:adjustRightInd w:val="0"/>
        <w:snapToGrid w:val="0"/>
        <w:spacing w:line="360" w:lineRule="auto"/>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详见投标人须知22条。资格审查表详见本章附件1。</w:t>
      </w:r>
    </w:p>
    <w:p>
      <w:pPr>
        <w:adjustRightInd w:val="0"/>
        <w:snapToGrid w:val="0"/>
        <w:spacing w:line="360" w:lineRule="auto"/>
        <w:ind w:firstLine="422" w:firstLineChars="200"/>
        <w:rPr>
          <w:rFonts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3.符合性检查</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详见投标人须知23款。符合性审查表详见本章附件2。</w:t>
      </w:r>
    </w:p>
    <w:p>
      <w:pPr>
        <w:adjustRightInd w:val="0"/>
        <w:snapToGrid w:val="0"/>
        <w:spacing w:line="360" w:lineRule="auto"/>
        <w:ind w:firstLine="422" w:firstLineChars="200"/>
        <w:rPr>
          <w:rFonts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4、比较及评审</w:t>
      </w:r>
    </w:p>
    <w:p>
      <w:pPr>
        <w:adjustRightInd w:val="0"/>
        <w:snapToGrid w:val="0"/>
        <w:spacing w:line="360" w:lineRule="auto"/>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4.1评审小组对通过资格审查、符合性审查的投标文件进行比较和评审。</w:t>
      </w:r>
    </w:p>
    <w:p>
      <w:pPr>
        <w:adjustRightInd w:val="0"/>
        <w:snapToGrid w:val="0"/>
        <w:spacing w:line="360" w:lineRule="auto"/>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4.2对投标文件的澄清按投标人须知24条内容执行。</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4.3评审小组</w:t>
      </w:r>
      <w:r>
        <w:rPr>
          <w:rFonts w:hint="eastAsia" w:ascii="仿宋_GB2312" w:hAnsi="仿宋_GB2312" w:eastAsia="仿宋_GB2312" w:cs="仿宋_GB2312"/>
          <w:color w:val="auto"/>
          <w:szCs w:val="21"/>
        </w:rPr>
        <w:t>认为投标人的报价明显低于其他通过符合性审查的投标人报价，有可能影响产品质量或者不能诚信履约的，评审小组应当要求其在评审现场合理的时间（</w:t>
      </w:r>
      <w:r>
        <w:rPr>
          <w:rFonts w:hint="eastAsia" w:ascii="仿宋_GB2312" w:hAnsi="仿宋_GB2312" w:eastAsia="仿宋_GB2312" w:cs="仿宋_GB2312"/>
          <w:color w:val="auto"/>
          <w:kern w:val="0"/>
          <w:szCs w:val="21"/>
        </w:rPr>
        <w:t>接到通知后</w:t>
      </w:r>
      <w:r>
        <w:rPr>
          <w:rFonts w:hint="eastAsia" w:ascii="仿宋_GB2312" w:hAnsi="仿宋_GB2312" w:eastAsia="仿宋_GB2312" w:cs="仿宋_GB2312"/>
          <w:b/>
          <w:bCs/>
          <w:color w:val="auto"/>
          <w:kern w:val="0"/>
          <w:szCs w:val="21"/>
          <w:u w:val="single"/>
        </w:rPr>
        <w:t xml:space="preserve"> 1 </w:t>
      </w:r>
      <w:r>
        <w:rPr>
          <w:rFonts w:hint="eastAsia" w:ascii="仿宋_GB2312" w:hAnsi="仿宋_GB2312" w:eastAsia="仿宋_GB2312" w:cs="仿宋_GB2312"/>
          <w:color w:val="auto"/>
          <w:kern w:val="0"/>
          <w:szCs w:val="21"/>
        </w:rPr>
        <w:t>小时</w:t>
      </w:r>
      <w:r>
        <w:rPr>
          <w:rFonts w:hint="eastAsia" w:ascii="仿宋_GB2312" w:hAnsi="仿宋_GB2312" w:eastAsia="仿宋_GB2312" w:cs="仿宋_GB2312"/>
          <w:color w:val="auto"/>
          <w:szCs w:val="21"/>
        </w:rPr>
        <w:t>）内通过电子采购平台提供书面说明，并提交相关证明材料，</w:t>
      </w:r>
      <w:r>
        <w:rPr>
          <w:rFonts w:hint="eastAsia" w:ascii="仿宋_GB2312" w:hAnsi="仿宋_GB2312" w:eastAsia="仿宋_GB2312" w:cs="仿宋_GB2312"/>
          <w:color w:val="auto"/>
          <w:kern w:val="0"/>
          <w:szCs w:val="21"/>
        </w:rPr>
        <w:t>投标人不能证明其报价合理性的，评审小组应当将</w:t>
      </w:r>
      <w:r>
        <w:rPr>
          <w:rFonts w:hint="eastAsia" w:ascii="仿宋_GB2312" w:hAnsi="仿宋_GB2312" w:eastAsia="仿宋_GB2312" w:cs="仿宋_GB2312"/>
          <w:color w:val="auto"/>
          <w:szCs w:val="21"/>
        </w:rPr>
        <w:t>其响应作为</w:t>
      </w:r>
      <w:r>
        <w:rPr>
          <w:rFonts w:hint="eastAsia" w:ascii="仿宋_GB2312" w:hAnsi="仿宋_GB2312" w:eastAsia="仿宋_GB2312" w:cs="仿宋_GB2312"/>
          <w:b/>
          <w:bCs/>
          <w:color w:val="auto"/>
          <w:szCs w:val="21"/>
        </w:rPr>
        <w:t>废标处理</w:t>
      </w:r>
      <w:r>
        <w:rPr>
          <w:rFonts w:hint="eastAsia" w:ascii="仿宋_GB2312" w:hAnsi="仿宋_GB2312" w:eastAsia="仿宋_GB2312" w:cs="仿宋_GB2312"/>
          <w:color w:val="auto"/>
          <w:szCs w:val="21"/>
        </w:rPr>
        <w:t>。</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投标人的书面说明材料包含本身成本、人工费用、运输、税收等，以及投标报价不会影响产品质量或诚信履约能力的说明等。</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投标人的书面说明应当签字确认或者加盖公章，否则无效。书面说明的签字确认，由其法定代表人（非法人单位负责人或自然人本人）或者其授权代表签字确认。</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投标人提供书面说明后，评审小组应当结合招标项目招标人需求、专业实际情况、投标人财务状况报告、与其他投标人比较情况等投标人的书面说明进行审查评价。投标人如有下列情况的，评审小组应当将其投标文件作为</w:t>
      </w:r>
      <w:r>
        <w:rPr>
          <w:rFonts w:hint="eastAsia" w:ascii="仿宋_GB2312" w:hAnsi="仿宋_GB2312" w:eastAsia="仿宋_GB2312" w:cs="仿宋_GB2312"/>
          <w:b/>
          <w:bCs/>
          <w:color w:val="auto"/>
          <w:szCs w:val="21"/>
        </w:rPr>
        <w:t>废标处理</w:t>
      </w:r>
      <w:r>
        <w:rPr>
          <w:rFonts w:hint="eastAsia" w:ascii="仿宋_GB2312" w:hAnsi="仿宋_GB2312" w:eastAsia="仿宋_GB2312" w:cs="仿宋_GB2312"/>
          <w:color w:val="auto"/>
          <w:szCs w:val="21"/>
        </w:rPr>
        <w:t>：</w:t>
      </w:r>
    </w:p>
    <w:p>
      <w:pPr>
        <w:numPr>
          <w:ilvl w:val="0"/>
          <w:numId w:val="4"/>
        </w:num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拒绝或者变相拒绝提供有效书面说明；</w:t>
      </w:r>
    </w:p>
    <w:p>
      <w:pPr>
        <w:numPr>
          <w:ilvl w:val="0"/>
          <w:numId w:val="4"/>
        </w:num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书面说明不能证明其报价合理性的；</w:t>
      </w:r>
    </w:p>
    <w:tbl>
      <w:tblPr>
        <w:tblStyle w:val="19"/>
        <w:tblpPr w:leftFromText="180" w:rightFromText="180" w:vertAnchor="text" w:horzAnchor="page" w:tblpX="1452" w:tblpY="470"/>
        <w:tblOverlap w:val="never"/>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1"/>
        <w:gridCol w:w="1131"/>
        <w:gridCol w:w="7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exact"/>
        </w:trPr>
        <w:tc>
          <w:tcPr>
            <w:tcW w:w="2042" w:type="dxa"/>
            <w:gridSpan w:val="2"/>
            <w:shd w:val="clear" w:color="auto" w:fill="FFFFFF"/>
            <w:vAlign w:val="bottom"/>
          </w:tcPr>
          <w:p>
            <w:pPr>
              <w:pStyle w:val="32"/>
              <w:shd w:val="clear" w:color="auto" w:fill="auto"/>
              <w:spacing w:before="0" w:line="240" w:lineRule="auto"/>
              <w:ind w:left="42" w:leftChars="20" w:right="42" w:rightChars="20"/>
              <w:jc w:val="center"/>
              <w:rPr>
                <w:rFonts w:ascii="仿宋_GB2312" w:hAnsi="仿宋_GB2312" w:eastAsia="仿宋_GB2312" w:cs="仿宋_GB2312"/>
                <w:b/>
                <w:bCs/>
                <w:color w:val="auto"/>
                <w:sz w:val="21"/>
                <w:szCs w:val="21"/>
              </w:rPr>
            </w:pPr>
            <w:r>
              <w:rPr>
                <w:rStyle w:val="33"/>
                <w:rFonts w:hint="eastAsia" w:ascii="仿宋_GB2312" w:hAnsi="仿宋_GB2312" w:eastAsia="仿宋_GB2312" w:cs="仿宋_GB2312"/>
                <w:b/>
                <w:bCs/>
                <w:color w:val="auto"/>
                <w:sz w:val="21"/>
                <w:szCs w:val="21"/>
                <w:lang w:val="zh-CN"/>
              </w:rPr>
              <w:t>条款号</w:t>
            </w:r>
          </w:p>
        </w:tc>
        <w:tc>
          <w:tcPr>
            <w:tcW w:w="7172" w:type="dxa"/>
            <w:shd w:val="clear" w:color="auto" w:fill="FFFFFF"/>
            <w:vAlign w:val="bottom"/>
          </w:tcPr>
          <w:p>
            <w:pPr>
              <w:pStyle w:val="32"/>
              <w:shd w:val="clear" w:color="auto" w:fill="auto"/>
              <w:spacing w:before="0" w:line="240" w:lineRule="auto"/>
              <w:ind w:left="42" w:leftChars="20" w:right="42" w:rightChars="20"/>
              <w:jc w:val="center"/>
              <w:rPr>
                <w:rFonts w:ascii="仿宋_GB2312" w:hAnsi="仿宋_GB2312" w:eastAsia="仿宋_GB2312" w:cs="仿宋_GB2312"/>
                <w:b/>
                <w:bCs/>
                <w:color w:val="auto"/>
                <w:sz w:val="21"/>
                <w:szCs w:val="21"/>
              </w:rPr>
            </w:pPr>
            <w:r>
              <w:rPr>
                <w:rStyle w:val="33"/>
                <w:rFonts w:hint="eastAsia" w:ascii="仿宋_GB2312" w:hAnsi="仿宋_GB2312" w:eastAsia="仿宋_GB2312" w:cs="仿宋_GB2312"/>
                <w:b/>
                <w:bCs/>
                <w:color w:val="auto"/>
                <w:sz w:val="21"/>
                <w:szCs w:val="21"/>
                <w:lang w:val="zh-CN"/>
              </w:rPr>
              <w:t>评审因素与标准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8" w:hRule="exact"/>
        </w:trPr>
        <w:tc>
          <w:tcPr>
            <w:tcW w:w="911" w:type="dxa"/>
            <w:shd w:val="clear" w:color="auto" w:fill="FFFFFF"/>
            <w:vAlign w:val="center"/>
          </w:tcPr>
          <w:p>
            <w:pPr>
              <w:pStyle w:val="32"/>
              <w:shd w:val="clear" w:color="auto" w:fill="auto"/>
              <w:spacing w:before="0" w:line="240" w:lineRule="auto"/>
              <w:ind w:left="42" w:leftChars="20" w:right="42" w:rightChars="20"/>
              <w:jc w:val="center"/>
              <w:rPr>
                <w:rFonts w:ascii="仿宋_GB2312" w:hAnsi="仿宋_GB2312" w:eastAsia="仿宋_GB2312" w:cs="仿宋_GB2312"/>
                <w:color w:val="auto"/>
                <w:sz w:val="21"/>
                <w:szCs w:val="21"/>
              </w:rPr>
            </w:pPr>
            <w:r>
              <w:rPr>
                <w:rStyle w:val="34"/>
                <w:rFonts w:hint="eastAsia" w:ascii="仿宋_GB2312" w:hAnsi="仿宋_GB2312" w:eastAsia="仿宋_GB2312" w:cs="仿宋_GB2312"/>
                <w:color w:val="auto"/>
                <w:sz w:val="21"/>
                <w:szCs w:val="21"/>
              </w:rPr>
              <w:t>4.4.</w:t>
            </w:r>
            <w:r>
              <w:rPr>
                <w:rStyle w:val="34"/>
                <w:rFonts w:hint="eastAsia" w:ascii="仿宋_GB2312" w:hAnsi="仿宋_GB2312" w:eastAsia="仿宋_GB2312" w:cs="仿宋_GB2312"/>
                <w:color w:val="auto"/>
                <w:sz w:val="21"/>
                <w:szCs w:val="21"/>
                <w:lang w:val="zh-CN"/>
              </w:rPr>
              <w:t>1</w:t>
            </w:r>
          </w:p>
        </w:tc>
        <w:tc>
          <w:tcPr>
            <w:tcW w:w="1131" w:type="dxa"/>
            <w:shd w:val="clear" w:color="auto" w:fill="FFFFFF"/>
            <w:vAlign w:val="center"/>
          </w:tcPr>
          <w:p>
            <w:pPr>
              <w:pStyle w:val="32"/>
              <w:shd w:val="clear" w:color="auto" w:fill="auto"/>
              <w:spacing w:before="0" w:line="240" w:lineRule="auto"/>
              <w:ind w:left="42" w:leftChars="20" w:right="42" w:rightChars="20"/>
              <w:jc w:val="center"/>
              <w:rPr>
                <w:rFonts w:ascii="仿宋_GB2312" w:hAnsi="仿宋_GB2312" w:eastAsia="仿宋_GB2312" w:cs="仿宋_GB2312"/>
                <w:color w:val="auto"/>
                <w:sz w:val="21"/>
                <w:szCs w:val="21"/>
              </w:rPr>
            </w:pPr>
            <w:r>
              <w:rPr>
                <w:rStyle w:val="34"/>
                <w:rFonts w:hint="eastAsia" w:ascii="仿宋_GB2312" w:hAnsi="仿宋_GB2312" w:eastAsia="仿宋_GB2312" w:cs="仿宋_GB2312"/>
                <w:color w:val="auto"/>
                <w:sz w:val="21"/>
                <w:szCs w:val="21"/>
                <w:lang w:val="zh-CN"/>
              </w:rPr>
              <w:t>评</w:t>
            </w:r>
            <w:r>
              <w:rPr>
                <w:rStyle w:val="34"/>
                <w:rFonts w:hint="eastAsia" w:ascii="仿宋_GB2312" w:hAnsi="仿宋_GB2312" w:eastAsia="仿宋_GB2312" w:cs="仿宋_GB2312"/>
                <w:color w:val="auto"/>
                <w:sz w:val="21"/>
                <w:szCs w:val="21"/>
              </w:rPr>
              <w:t>审</w:t>
            </w:r>
            <w:r>
              <w:rPr>
                <w:rStyle w:val="34"/>
                <w:rFonts w:hint="eastAsia" w:ascii="仿宋_GB2312" w:hAnsi="仿宋_GB2312" w:eastAsia="仿宋_GB2312" w:cs="仿宋_GB2312"/>
                <w:color w:val="auto"/>
                <w:sz w:val="21"/>
                <w:szCs w:val="21"/>
                <w:lang w:val="zh-CN"/>
              </w:rPr>
              <w:t>方法</w:t>
            </w:r>
          </w:p>
        </w:tc>
        <w:tc>
          <w:tcPr>
            <w:tcW w:w="7172" w:type="dxa"/>
            <w:shd w:val="clear" w:color="auto" w:fill="FFFFFF"/>
            <w:vAlign w:val="center"/>
          </w:tcPr>
          <w:p>
            <w:pPr>
              <w:pStyle w:val="32"/>
              <w:shd w:val="clear" w:color="auto" w:fill="auto"/>
              <w:spacing w:before="0" w:line="240" w:lineRule="auto"/>
              <w:ind w:right="42" w:rightChars="20" w:firstLine="420" w:firstLineChars="200"/>
              <w:jc w:val="both"/>
              <w:rPr>
                <w:rStyle w:val="29"/>
                <w:rFonts w:ascii="仿宋_GB2312" w:hAnsi="仿宋_GB2312" w:eastAsia="仿宋_GB2312" w:cs="仿宋_GB2312"/>
                <w:color w:val="auto"/>
                <w:sz w:val="21"/>
                <w:szCs w:val="21"/>
                <w:lang w:val="zh-CN"/>
              </w:rPr>
            </w:pPr>
            <w:r>
              <w:rPr>
                <w:rStyle w:val="29"/>
                <w:rFonts w:hint="eastAsia" w:ascii="仿宋_GB2312" w:hAnsi="仿宋_GB2312" w:eastAsia="仿宋_GB2312" w:cs="仿宋_GB2312"/>
                <w:color w:val="auto"/>
                <w:sz w:val="21"/>
                <w:szCs w:val="21"/>
                <w:lang w:val="zh-CN"/>
              </w:rPr>
              <w:t>综合评分相等时，评</w:t>
            </w:r>
            <w:r>
              <w:rPr>
                <w:rStyle w:val="29"/>
                <w:rFonts w:hint="eastAsia" w:ascii="仿宋_GB2312" w:hAnsi="仿宋_GB2312" w:eastAsia="仿宋_GB2312" w:cs="仿宋_GB2312"/>
                <w:color w:val="auto"/>
                <w:sz w:val="21"/>
                <w:szCs w:val="21"/>
              </w:rPr>
              <w:t>审小组</w:t>
            </w:r>
            <w:r>
              <w:rPr>
                <w:rStyle w:val="29"/>
                <w:rFonts w:hint="eastAsia" w:ascii="仿宋_GB2312" w:hAnsi="仿宋_GB2312" w:eastAsia="仿宋_GB2312" w:cs="仿宋_GB2312"/>
                <w:color w:val="auto"/>
                <w:sz w:val="21"/>
                <w:szCs w:val="21"/>
                <w:lang w:val="zh-CN"/>
              </w:rPr>
              <w:t>依次按照以下优先顺序推荐中标候选人或确定中标人：</w:t>
            </w:r>
          </w:p>
          <w:p>
            <w:pPr>
              <w:pStyle w:val="32"/>
              <w:shd w:val="clear" w:color="auto" w:fill="auto"/>
              <w:tabs>
                <w:tab w:val="left" w:pos="1050"/>
              </w:tabs>
              <w:spacing w:before="0" w:line="240" w:lineRule="auto"/>
              <w:ind w:left="42" w:leftChars="20" w:right="42" w:rightChars="20"/>
              <w:jc w:val="both"/>
              <w:rPr>
                <w:rStyle w:val="29"/>
                <w:rFonts w:ascii="仿宋_GB2312" w:hAnsi="仿宋_GB2312" w:eastAsia="仿宋_GB2312" w:cs="仿宋_GB2312"/>
                <w:color w:val="auto"/>
                <w:sz w:val="21"/>
                <w:szCs w:val="21"/>
                <w:lang w:val="zh-CN"/>
              </w:rPr>
            </w:pPr>
            <w:r>
              <w:rPr>
                <w:rStyle w:val="29"/>
                <w:rFonts w:hint="eastAsia" w:ascii="仿宋_GB2312" w:hAnsi="仿宋_GB2312" w:eastAsia="仿宋_GB2312" w:cs="仿宋_GB2312"/>
                <w:color w:val="auto"/>
                <w:sz w:val="21"/>
                <w:szCs w:val="21"/>
                <w:lang w:val="zh-CN"/>
              </w:rPr>
              <w:t>（1）评标价低的优先；</w:t>
            </w:r>
          </w:p>
          <w:p>
            <w:pPr>
              <w:pStyle w:val="32"/>
              <w:shd w:val="clear" w:color="auto" w:fill="auto"/>
              <w:tabs>
                <w:tab w:val="left" w:pos="1050"/>
              </w:tabs>
              <w:spacing w:before="0" w:line="240" w:lineRule="auto"/>
              <w:ind w:left="42" w:leftChars="20" w:right="42" w:rightChars="20"/>
              <w:jc w:val="both"/>
              <w:rPr>
                <w:rStyle w:val="29"/>
                <w:rFonts w:ascii="仿宋_GB2312" w:hAnsi="仿宋_GB2312" w:eastAsia="仿宋_GB2312" w:cs="仿宋_GB2312"/>
                <w:color w:val="auto"/>
                <w:sz w:val="21"/>
                <w:szCs w:val="21"/>
              </w:rPr>
            </w:pPr>
            <w:r>
              <w:rPr>
                <w:rStyle w:val="29"/>
                <w:rFonts w:hint="eastAsia" w:ascii="仿宋_GB2312" w:hAnsi="仿宋_GB2312" w:eastAsia="仿宋_GB2312" w:cs="仿宋_GB2312"/>
                <w:color w:val="auto"/>
                <w:sz w:val="21"/>
                <w:szCs w:val="21"/>
                <w:lang w:val="zh-CN"/>
              </w:rPr>
              <w:t>（2）</w:t>
            </w:r>
            <w:r>
              <w:rPr>
                <w:rStyle w:val="29"/>
                <w:rFonts w:hint="eastAsia" w:ascii="仿宋_GB2312" w:hAnsi="仿宋_GB2312" w:eastAsia="仿宋_GB2312" w:cs="仿宋_GB2312"/>
                <w:color w:val="auto"/>
                <w:sz w:val="21"/>
                <w:szCs w:val="21"/>
              </w:rPr>
              <w:t>以投标人企业最新年度净资产较高的优先；</w:t>
            </w:r>
          </w:p>
          <w:p>
            <w:pPr>
              <w:pStyle w:val="32"/>
              <w:shd w:val="clear" w:color="auto" w:fill="auto"/>
              <w:tabs>
                <w:tab w:val="left" w:pos="1087"/>
              </w:tabs>
              <w:spacing w:before="0" w:line="240" w:lineRule="auto"/>
              <w:ind w:left="42" w:leftChars="20" w:right="42" w:rightChars="20"/>
              <w:jc w:val="both"/>
              <w:rPr>
                <w:rFonts w:ascii="仿宋_GB2312" w:hAnsi="仿宋_GB2312" w:eastAsia="仿宋_GB2312" w:cs="仿宋_GB2312"/>
                <w:color w:val="auto"/>
                <w:sz w:val="21"/>
                <w:szCs w:val="21"/>
              </w:rPr>
            </w:pPr>
            <w:r>
              <w:rPr>
                <w:rStyle w:val="29"/>
                <w:rFonts w:hint="eastAsia" w:ascii="仿宋_GB2312" w:hAnsi="仿宋_GB2312" w:eastAsia="仿宋_GB2312" w:cs="仿宋_GB2312"/>
                <w:color w:val="auto"/>
                <w:sz w:val="21"/>
                <w:szCs w:val="21"/>
                <w:lang w:val="zh-CN"/>
              </w:rPr>
              <w:t>（</w:t>
            </w:r>
            <w:r>
              <w:rPr>
                <w:rStyle w:val="29"/>
                <w:rFonts w:hint="eastAsia" w:ascii="仿宋_GB2312" w:hAnsi="仿宋_GB2312" w:eastAsia="仿宋_GB2312" w:cs="仿宋_GB2312"/>
                <w:color w:val="auto"/>
                <w:sz w:val="21"/>
                <w:szCs w:val="21"/>
              </w:rPr>
              <w:t>3</w:t>
            </w:r>
            <w:r>
              <w:rPr>
                <w:rStyle w:val="29"/>
                <w:rFonts w:hint="eastAsia" w:ascii="仿宋_GB2312" w:hAnsi="仿宋_GB2312" w:eastAsia="仿宋_GB2312" w:cs="仿宋_GB2312"/>
                <w:color w:val="auto"/>
                <w:sz w:val="21"/>
                <w:szCs w:val="21"/>
                <w:lang w:val="zh-CN"/>
              </w:rPr>
              <w:t>）评</w:t>
            </w:r>
            <w:r>
              <w:rPr>
                <w:rStyle w:val="29"/>
                <w:rFonts w:hint="eastAsia" w:ascii="仿宋_GB2312" w:hAnsi="仿宋_GB2312" w:eastAsia="仿宋_GB2312" w:cs="仿宋_GB2312"/>
                <w:color w:val="auto"/>
                <w:sz w:val="21"/>
                <w:szCs w:val="21"/>
              </w:rPr>
              <w:t>审小组</w:t>
            </w:r>
            <w:r>
              <w:rPr>
                <w:rStyle w:val="29"/>
                <w:rFonts w:hint="eastAsia" w:ascii="仿宋_GB2312" w:hAnsi="仿宋_GB2312" w:eastAsia="仿宋_GB2312" w:cs="仿宋_GB2312"/>
                <w:color w:val="auto"/>
                <w:sz w:val="21"/>
                <w:szCs w:val="21"/>
                <w:lang w:val="zh-CN"/>
              </w:rPr>
              <w:t>视投标人情况综合比较，投票确定其名次。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9" w:hRule="exact"/>
        </w:trPr>
        <w:tc>
          <w:tcPr>
            <w:tcW w:w="911" w:type="dxa"/>
            <w:shd w:val="clear" w:color="auto" w:fill="FFFFFF"/>
            <w:vAlign w:val="center"/>
          </w:tcPr>
          <w:p>
            <w:pPr>
              <w:pStyle w:val="32"/>
              <w:shd w:val="clear" w:color="auto" w:fill="auto"/>
              <w:spacing w:before="0" w:line="240" w:lineRule="auto"/>
              <w:ind w:left="42" w:leftChars="20" w:right="42" w:rightChars="20"/>
              <w:jc w:val="center"/>
              <w:rPr>
                <w:rFonts w:ascii="仿宋_GB2312" w:hAnsi="仿宋_GB2312" w:eastAsia="仿宋_GB2312" w:cs="仿宋_GB2312"/>
                <w:color w:val="auto"/>
                <w:sz w:val="21"/>
                <w:szCs w:val="21"/>
              </w:rPr>
            </w:pPr>
            <w:r>
              <w:rPr>
                <w:rStyle w:val="35"/>
                <w:rFonts w:hint="eastAsia" w:ascii="仿宋_GB2312" w:hAnsi="仿宋_GB2312" w:eastAsia="仿宋_GB2312" w:cs="仿宋_GB2312"/>
                <w:b w:val="0"/>
                <w:color w:val="auto"/>
                <w:sz w:val="21"/>
                <w:szCs w:val="21"/>
              </w:rPr>
              <w:t>4.4.2</w:t>
            </w:r>
          </w:p>
        </w:tc>
        <w:tc>
          <w:tcPr>
            <w:tcW w:w="1131" w:type="dxa"/>
            <w:shd w:val="clear" w:color="auto" w:fill="FFFFFF"/>
            <w:vAlign w:val="center"/>
          </w:tcPr>
          <w:p>
            <w:pPr>
              <w:pStyle w:val="32"/>
              <w:shd w:val="clear" w:color="auto" w:fill="auto"/>
              <w:spacing w:before="0" w:line="240" w:lineRule="auto"/>
              <w:ind w:left="42" w:leftChars="20" w:right="42" w:rightChars="20"/>
              <w:jc w:val="both"/>
              <w:rPr>
                <w:rFonts w:ascii="仿宋_GB2312" w:hAnsi="仿宋_GB2312" w:eastAsia="仿宋_GB2312" w:cs="仿宋_GB2312"/>
                <w:color w:val="auto"/>
                <w:sz w:val="21"/>
                <w:szCs w:val="21"/>
              </w:rPr>
            </w:pPr>
            <w:r>
              <w:rPr>
                <w:rStyle w:val="34"/>
                <w:rFonts w:hint="eastAsia" w:ascii="仿宋_GB2312" w:hAnsi="仿宋_GB2312" w:eastAsia="仿宋_GB2312" w:cs="仿宋_GB2312"/>
                <w:color w:val="auto"/>
                <w:sz w:val="21"/>
                <w:szCs w:val="21"/>
                <w:lang w:val="zh-CN"/>
              </w:rPr>
              <w:t>分值构成 (总分</w:t>
            </w:r>
            <w:r>
              <w:rPr>
                <w:rStyle w:val="35"/>
                <w:rFonts w:hint="eastAsia" w:ascii="仿宋_GB2312" w:hAnsi="仿宋_GB2312" w:eastAsia="仿宋_GB2312" w:cs="仿宋_GB2312"/>
                <w:b w:val="0"/>
                <w:color w:val="auto"/>
                <w:sz w:val="21"/>
                <w:szCs w:val="21"/>
                <w:lang w:val="zh-CN"/>
              </w:rPr>
              <w:t>100</w:t>
            </w:r>
          </w:p>
          <w:p>
            <w:pPr>
              <w:pStyle w:val="32"/>
              <w:shd w:val="clear" w:color="auto" w:fill="auto"/>
              <w:spacing w:before="0" w:line="240" w:lineRule="auto"/>
              <w:ind w:left="42" w:leftChars="20" w:right="42" w:rightChars="20"/>
              <w:jc w:val="both"/>
              <w:rPr>
                <w:rFonts w:ascii="仿宋_GB2312" w:hAnsi="仿宋_GB2312" w:eastAsia="仿宋_GB2312" w:cs="仿宋_GB2312"/>
                <w:color w:val="auto"/>
                <w:sz w:val="21"/>
                <w:szCs w:val="21"/>
              </w:rPr>
            </w:pPr>
            <w:r>
              <w:rPr>
                <w:rStyle w:val="34"/>
                <w:rFonts w:hint="eastAsia" w:ascii="仿宋_GB2312" w:hAnsi="仿宋_GB2312" w:eastAsia="仿宋_GB2312" w:cs="仿宋_GB2312"/>
                <w:color w:val="auto"/>
                <w:sz w:val="21"/>
                <w:szCs w:val="21"/>
                <w:lang w:val="zh-CN"/>
              </w:rPr>
              <w:t>分）</w:t>
            </w:r>
          </w:p>
        </w:tc>
        <w:tc>
          <w:tcPr>
            <w:tcW w:w="7172" w:type="dxa"/>
            <w:shd w:val="clear" w:color="auto" w:fill="FFFFFF"/>
            <w:vAlign w:val="center"/>
          </w:tcPr>
          <w:p>
            <w:pPr>
              <w:pStyle w:val="32"/>
              <w:shd w:val="clear" w:color="auto" w:fill="auto"/>
              <w:spacing w:before="0" w:line="280" w:lineRule="exact"/>
              <w:ind w:left="42" w:leftChars="20" w:right="42" w:rightChars="20"/>
              <w:jc w:val="both"/>
              <w:rPr>
                <w:rFonts w:ascii="仿宋_GB2312" w:hAnsi="仿宋_GB2312" w:eastAsia="仿宋_GB2312" w:cs="仿宋_GB2312"/>
                <w:color w:val="auto"/>
                <w:sz w:val="21"/>
                <w:szCs w:val="21"/>
              </w:rPr>
            </w:pPr>
            <w:r>
              <w:rPr>
                <w:rStyle w:val="35"/>
                <w:rFonts w:hint="eastAsia" w:ascii="仿宋_GB2312" w:hAnsi="仿宋_GB2312" w:eastAsia="仿宋_GB2312" w:cs="仿宋_GB2312"/>
                <w:b w:val="0"/>
                <w:color w:val="auto"/>
                <w:sz w:val="21"/>
                <w:szCs w:val="21"/>
                <w:lang w:val="zh-CN"/>
              </w:rPr>
              <w:t>商务及技术文件评分分值构成：</w:t>
            </w:r>
          </w:p>
          <w:p>
            <w:pPr>
              <w:spacing w:line="280" w:lineRule="exact"/>
              <w:ind w:left="42" w:leftChars="20" w:right="42" w:rightChars="2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实施方案（A）：</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lang w:val="en-US" w:eastAsia="zh-CN"/>
              </w:rPr>
              <w:t>40</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分</w:t>
            </w:r>
          </w:p>
          <w:p>
            <w:pPr>
              <w:tabs>
                <w:tab w:val="left" w:pos="4094"/>
              </w:tabs>
              <w:spacing w:line="280" w:lineRule="exact"/>
              <w:ind w:left="42" w:leftChars="20" w:right="42" w:rightChars="2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财务、资信状况 (B)：</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lang w:val="en-US" w:eastAsia="zh-CN"/>
              </w:rPr>
              <w:t>5</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分</w:t>
            </w:r>
            <w:r>
              <w:rPr>
                <w:rFonts w:hint="eastAsia" w:ascii="仿宋_GB2312" w:hAnsi="仿宋_GB2312" w:eastAsia="仿宋_GB2312" w:cs="仿宋_GB2312"/>
                <w:color w:val="auto"/>
                <w:szCs w:val="21"/>
              </w:rPr>
              <w:tab/>
            </w:r>
          </w:p>
          <w:p>
            <w:pPr>
              <w:spacing w:line="280" w:lineRule="exact"/>
              <w:ind w:left="42" w:leftChars="20" w:right="42" w:rightChars="2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其他因素 (D)：   </w:t>
            </w:r>
          </w:p>
          <w:p>
            <w:pPr>
              <w:spacing w:line="280" w:lineRule="exact"/>
              <w:ind w:left="42" w:leftChars="20" w:right="42" w:rightChars="2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业    绩：</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lang w:val="en-US" w:eastAsia="zh-CN"/>
              </w:rPr>
              <w:t>10</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分</w:t>
            </w:r>
          </w:p>
          <w:p>
            <w:pPr>
              <w:spacing w:line="280" w:lineRule="exact"/>
              <w:ind w:left="42" w:leftChars="20" w:right="42" w:rightChars="20" w:firstLine="420" w:firstLineChars="200"/>
              <w:rPr>
                <w:rFonts w:ascii="仿宋_GB2312" w:hAnsi="仿宋_GB2312" w:eastAsia="仿宋_GB2312" w:cs="仿宋_GB2312"/>
                <w:color w:val="auto"/>
                <w:szCs w:val="21"/>
              </w:rPr>
            </w:pPr>
            <w:r>
              <w:rPr>
                <w:rFonts w:ascii="仿宋_GB2312" w:hAnsi="仿宋_GB2312" w:eastAsia="仿宋_GB2312" w:cs="仿宋_GB2312"/>
                <w:color w:val="auto"/>
                <w:szCs w:val="21"/>
              </w:rPr>
              <w:t>体系认证</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lang w:val="en-US" w:eastAsia="zh-CN"/>
              </w:rPr>
              <w:t>3</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分</w:t>
            </w:r>
          </w:p>
          <w:p>
            <w:pPr>
              <w:spacing w:line="280" w:lineRule="exact"/>
              <w:ind w:left="42" w:leftChars="20" w:right="42" w:rightChars="20"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项目负责人</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lang w:val="en-US" w:eastAsia="zh-CN"/>
              </w:rPr>
              <w:t>6</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分</w:t>
            </w:r>
          </w:p>
          <w:p>
            <w:pPr>
              <w:pStyle w:val="7"/>
              <w:ind w:firstLine="420" w:firstLineChars="200"/>
              <w:rPr>
                <w:rFonts w:hint="default" w:eastAsia="仿宋_GB2312"/>
                <w:color w:val="auto"/>
                <w:lang w:val="en-US" w:eastAsia="zh-CN"/>
              </w:rPr>
            </w:pPr>
            <w:r>
              <w:rPr>
                <w:rFonts w:hint="eastAsia" w:ascii="仿宋_GB2312" w:hAnsi="仿宋_GB2312" w:eastAsia="仿宋_GB2312" w:cs="仿宋_GB2312"/>
                <w:color w:val="auto"/>
                <w:szCs w:val="21"/>
                <w:lang w:val="en-US" w:eastAsia="zh-CN"/>
              </w:rPr>
              <w:t>项目团队：</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lang w:val="en-US" w:eastAsia="zh-CN"/>
              </w:rPr>
              <w:t>6</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分</w:t>
            </w:r>
          </w:p>
          <w:p>
            <w:pPr>
              <w:pStyle w:val="32"/>
              <w:shd w:val="clear" w:color="auto" w:fill="auto"/>
              <w:spacing w:before="0" w:line="280" w:lineRule="exact"/>
              <w:ind w:left="42" w:leftChars="20" w:right="42" w:rightChars="20"/>
              <w:jc w:val="both"/>
              <w:rPr>
                <w:rFonts w:ascii="仿宋_GB2312" w:hAnsi="仿宋_GB2312" w:eastAsia="仿宋_GB2312" w:cs="仿宋_GB2312"/>
                <w:color w:val="auto"/>
                <w:sz w:val="21"/>
                <w:szCs w:val="21"/>
              </w:rPr>
            </w:pPr>
            <w:r>
              <w:rPr>
                <w:rStyle w:val="35"/>
                <w:rFonts w:hint="eastAsia" w:ascii="仿宋_GB2312" w:hAnsi="仿宋_GB2312" w:eastAsia="仿宋_GB2312" w:cs="仿宋_GB2312"/>
                <w:b w:val="0"/>
                <w:color w:val="auto"/>
                <w:sz w:val="21"/>
                <w:szCs w:val="21"/>
                <w:lang w:val="zh-CN"/>
              </w:rPr>
              <w:t>报价评分分值构成：</w:t>
            </w:r>
          </w:p>
          <w:p>
            <w:pPr>
              <w:pStyle w:val="32"/>
              <w:shd w:val="clear" w:color="auto" w:fill="auto"/>
              <w:spacing w:before="0" w:line="280" w:lineRule="exact"/>
              <w:ind w:left="42" w:leftChars="20" w:right="42" w:rightChars="20"/>
              <w:jc w:val="both"/>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评标价(C)：</w:t>
            </w:r>
            <w:r>
              <w:rPr>
                <w:rFonts w:hint="eastAsia" w:ascii="仿宋_GB2312" w:hAnsi="仿宋_GB2312" w:eastAsia="仿宋_GB2312" w:cs="仿宋_GB2312"/>
                <w:color w:val="auto"/>
                <w:sz w:val="21"/>
                <w:szCs w:val="21"/>
                <w:u w:val="single"/>
              </w:rPr>
              <w:t xml:space="preserve"> </w:t>
            </w:r>
            <w:r>
              <w:rPr>
                <w:rFonts w:hint="eastAsia" w:ascii="仿宋_GB2312" w:hAnsi="仿宋_GB2312" w:eastAsia="仿宋_GB2312" w:cs="仿宋_GB2312"/>
                <w:color w:val="auto"/>
                <w:sz w:val="21"/>
                <w:szCs w:val="21"/>
                <w:u w:val="single"/>
                <w:lang w:val="en-US" w:eastAsia="zh-CN"/>
              </w:rPr>
              <w:t>30</w:t>
            </w:r>
            <w:r>
              <w:rPr>
                <w:rFonts w:hint="eastAsia" w:ascii="仿宋_GB2312" w:hAnsi="仿宋_GB2312" w:eastAsia="仿宋_GB2312" w:cs="仿宋_GB2312"/>
                <w:color w:val="auto"/>
                <w:sz w:val="21"/>
                <w:szCs w:val="21"/>
                <w:u w:val="single"/>
              </w:rPr>
              <w:t xml:space="preserve"> </w:t>
            </w:r>
            <w:r>
              <w:rPr>
                <w:rFonts w:hint="eastAsia" w:ascii="仿宋_GB2312" w:hAnsi="仿宋_GB2312" w:eastAsia="仿宋_GB2312" w:cs="仿宋_GB2312"/>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0" w:hRule="exact"/>
        </w:trPr>
        <w:tc>
          <w:tcPr>
            <w:tcW w:w="911" w:type="dxa"/>
            <w:shd w:val="clear" w:color="auto" w:fill="FFFFFF"/>
            <w:vAlign w:val="center"/>
          </w:tcPr>
          <w:p>
            <w:pPr>
              <w:ind w:left="42" w:leftChars="20" w:right="42" w:rightChars="20"/>
              <w:jc w:val="center"/>
              <w:rPr>
                <w:rFonts w:ascii="仿宋_GB2312" w:hAnsi="仿宋_GB2312" w:eastAsia="仿宋_GB2312" w:cs="仿宋_GB2312"/>
                <w:color w:val="auto"/>
                <w:spacing w:val="20"/>
                <w:szCs w:val="21"/>
              </w:rPr>
            </w:pPr>
            <w:r>
              <w:rPr>
                <w:rFonts w:hint="eastAsia" w:ascii="仿宋_GB2312" w:hAnsi="仿宋_GB2312" w:eastAsia="仿宋_GB2312" w:cs="仿宋_GB2312"/>
                <w:color w:val="auto"/>
                <w:szCs w:val="21"/>
              </w:rPr>
              <w:t>4.4.3</w:t>
            </w:r>
          </w:p>
        </w:tc>
        <w:tc>
          <w:tcPr>
            <w:tcW w:w="1131" w:type="dxa"/>
            <w:shd w:val="clear" w:color="auto" w:fill="FFFFFF"/>
            <w:vAlign w:val="center"/>
          </w:tcPr>
          <w:p>
            <w:pPr>
              <w:ind w:left="42" w:leftChars="20" w:right="42" w:rightChars="20"/>
              <w:jc w:val="center"/>
              <w:rPr>
                <w:rFonts w:ascii="仿宋_GB2312" w:hAnsi="仿宋_GB2312" w:eastAsia="仿宋_GB2312" w:cs="仿宋_GB2312"/>
                <w:color w:val="auto"/>
                <w:spacing w:val="20"/>
                <w:szCs w:val="21"/>
              </w:rPr>
            </w:pPr>
            <w:r>
              <w:rPr>
                <w:rFonts w:hint="eastAsia" w:ascii="仿宋_GB2312" w:hAnsi="仿宋_GB2312" w:eastAsia="仿宋_GB2312" w:cs="仿宋_GB2312"/>
                <w:color w:val="auto"/>
                <w:szCs w:val="21"/>
              </w:rPr>
              <w:t>评标基准价计算方法</w:t>
            </w:r>
          </w:p>
        </w:tc>
        <w:tc>
          <w:tcPr>
            <w:tcW w:w="7172" w:type="dxa"/>
            <w:shd w:val="clear" w:color="auto" w:fill="FFFFFF"/>
            <w:vAlign w:val="center"/>
          </w:tcPr>
          <w:p>
            <w:pPr>
              <w:spacing w:line="300" w:lineRule="exact"/>
              <w:ind w:left="42" w:leftChars="20" w:right="42" w:rightChars="2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评标基准价的计算：</w:t>
            </w:r>
          </w:p>
          <w:p>
            <w:pPr>
              <w:pStyle w:val="32"/>
              <w:shd w:val="clear" w:color="auto" w:fill="auto"/>
              <w:spacing w:before="0" w:line="300" w:lineRule="exact"/>
              <w:ind w:left="42" w:leftChars="20" w:right="42" w:rightChars="20"/>
              <w:jc w:val="left"/>
              <w:rPr>
                <w:rFonts w:ascii="仿宋_GB2312" w:hAnsi="仿宋_GB2312" w:eastAsia="仿宋_GB2312" w:cs="仿宋_GB2312"/>
                <w:color w:val="auto"/>
                <w:sz w:val="21"/>
                <w:szCs w:val="21"/>
                <w:lang w:val="zh-CN"/>
              </w:rPr>
            </w:pPr>
            <w:r>
              <w:rPr>
                <w:rStyle w:val="34"/>
                <w:rFonts w:hint="eastAsia" w:ascii="仿宋_GB2312" w:hAnsi="仿宋_GB2312" w:eastAsia="仿宋_GB2312" w:cs="仿宋_GB2312"/>
                <w:color w:val="auto"/>
                <w:sz w:val="21"/>
                <w:szCs w:val="21"/>
                <w:lang w:val="zh-CN"/>
              </w:rPr>
              <w:t>在开标现场，招标人将当场计算并宣布评标基准价。</w:t>
            </w:r>
          </w:p>
          <w:p>
            <w:pPr>
              <w:pStyle w:val="32"/>
              <w:shd w:val="clear" w:color="auto" w:fill="auto"/>
              <w:tabs>
                <w:tab w:val="left" w:pos="413"/>
              </w:tabs>
              <w:spacing w:before="0" w:line="300" w:lineRule="exact"/>
              <w:ind w:right="42" w:rightChars="20"/>
              <w:jc w:val="both"/>
              <w:rPr>
                <w:rFonts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rPr>
              <w:t>(1)</w:t>
            </w:r>
            <w:r>
              <w:rPr>
                <w:rStyle w:val="34"/>
                <w:rFonts w:hint="eastAsia" w:ascii="仿宋_GB2312" w:hAnsi="仿宋_GB2312" w:eastAsia="仿宋_GB2312" w:cs="仿宋_GB2312"/>
                <w:color w:val="auto"/>
                <w:sz w:val="21"/>
                <w:szCs w:val="21"/>
                <w:lang w:val="zh-CN"/>
              </w:rPr>
              <w:t>评标价的确定：</w:t>
            </w:r>
          </w:p>
          <w:p>
            <w:pPr>
              <w:pStyle w:val="32"/>
              <w:shd w:val="clear" w:color="auto" w:fill="auto"/>
              <w:spacing w:before="0" w:line="300" w:lineRule="exact"/>
              <w:ind w:left="42" w:leftChars="20" w:right="42" w:rightChars="20"/>
              <w:jc w:val="left"/>
              <w:rPr>
                <w:rStyle w:val="34"/>
                <w:rFonts w:ascii="仿宋_GB2312" w:hAnsi="仿宋_GB2312" w:eastAsia="仿宋_GB2312" w:cs="仿宋_GB2312"/>
                <w:color w:val="auto"/>
                <w:sz w:val="21"/>
                <w:szCs w:val="21"/>
              </w:rPr>
            </w:pPr>
            <w:r>
              <w:rPr>
                <w:rStyle w:val="34"/>
                <w:rFonts w:hint="eastAsia" w:ascii="仿宋_GB2312" w:hAnsi="仿宋_GB2312" w:eastAsia="仿宋_GB2312" w:cs="仿宋_GB2312"/>
                <w:color w:val="auto"/>
                <w:sz w:val="21"/>
                <w:szCs w:val="21"/>
                <w:lang w:val="zh-CN"/>
              </w:rPr>
              <w:t>评标价=投标函文字报价</w:t>
            </w:r>
          </w:p>
          <w:p>
            <w:pPr>
              <w:spacing w:line="300" w:lineRule="exact"/>
              <w:ind w:left="42" w:leftChars="20" w:right="42" w:rightChars="2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w:t>
            </w:r>
            <w:r>
              <w:rPr>
                <w:rFonts w:hint="eastAsia" w:ascii="仿宋_GB2312" w:hAnsi="仿宋_GB2312" w:eastAsia="仿宋_GB2312" w:cs="仿宋_GB2312"/>
                <w:snapToGrid w:val="0"/>
                <w:color w:val="auto"/>
                <w:szCs w:val="21"/>
              </w:rPr>
              <w:t xml:space="preserve"> 最高评标限价的确定</w:t>
            </w:r>
          </w:p>
          <w:p>
            <w:pPr>
              <w:spacing w:line="300" w:lineRule="exact"/>
              <w:ind w:left="42" w:leftChars="20" w:right="42" w:rightChars="20" w:firstLine="420" w:firstLineChars="200"/>
              <w:rPr>
                <w:rFonts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最高评标限价＝该标段最高限价×（1-下浮率）</w:t>
            </w:r>
          </w:p>
          <w:p>
            <w:pPr>
              <w:spacing w:line="300" w:lineRule="exact"/>
              <w:ind w:left="42" w:leftChars="20" w:right="42" w:rightChars="20" w:firstLine="420" w:firstLineChars="200"/>
              <w:rPr>
                <w:rFonts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最高限价：见招标公告</w:t>
            </w:r>
          </w:p>
          <w:p>
            <w:pPr>
              <w:spacing w:line="300" w:lineRule="exact"/>
              <w:ind w:left="42" w:leftChars="20" w:right="42" w:rightChars="20" w:firstLine="420" w:firstLineChars="200"/>
              <w:rPr>
                <w:rFonts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下浮率为</w:t>
            </w:r>
            <w:r>
              <w:rPr>
                <w:rFonts w:hint="eastAsia" w:ascii="仿宋_GB2312" w:hAnsi="仿宋_GB2312" w:eastAsia="仿宋_GB2312" w:cs="仿宋_GB2312"/>
                <w:snapToGrid w:val="0"/>
                <w:color w:val="auto"/>
                <w:szCs w:val="21"/>
                <w:u w:val="single"/>
              </w:rPr>
              <w:t xml:space="preserve">  1   </w:t>
            </w:r>
            <w:r>
              <w:rPr>
                <w:rFonts w:hint="eastAsia" w:ascii="仿宋_GB2312" w:hAnsi="仿宋_GB2312" w:eastAsia="仿宋_GB2312" w:cs="仿宋_GB2312"/>
                <w:snapToGrid w:val="0"/>
                <w:color w:val="auto"/>
                <w:szCs w:val="21"/>
              </w:rPr>
              <w:t>%。</w:t>
            </w:r>
          </w:p>
          <w:p>
            <w:pPr>
              <w:spacing w:line="300" w:lineRule="exact"/>
              <w:ind w:left="42" w:leftChars="20" w:right="42" w:rightChars="20"/>
              <w:rPr>
                <w:rFonts w:ascii="仿宋_GB2312" w:hAnsi="仿宋_GB2312" w:eastAsia="仿宋_GB2312" w:cs="仿宋_GB2312"/>
                <w:snapToGrid w:val="0"/>
                <w:color w:val="auto"/>
                <w:szCs w:val="21"/>
              </w:rPr>
            </w:pPr>
            <w:r>
              <w:rPr>
                <w:rFonts w:hint="eastAsia" w:ascii="仿宋_GB2312" w:hAnsi="仿宋_GB2312" w:eastAsia="仿宋_GB2312" w:cs="仿宋_GB2312"/>
                <w:color w:val="auto"/>
                <w:szCs w:val="21"/>
              </w:rPr>
              <w:t>(3)</w:t>
            </w:r>
            <w:r>
              <w:rPr>
                <w:rFonts w:hint="eastAsia" w:ascii="仿宋_GB2312" w:hAnsi="仿宋_GB2312" w:eastAsia="仿宋_GB2312" w:cs="仿宋_GB2312"/>
                <w:snapToGrid w:val="0"/>
                <w:color w:val="auto"/>
                <w:szCs w:val="21"/>
              </w:rPr>
              <w:t xml:space="preserve"> </w:t>
            </w:r>
            <w:r>
              <w:rPr>
                <w:rFonts w:hint="eastAsia" w:ascii="仿宋_GB2312" w:hAnsi="仿宋_GB2312" w:eastAsia="仿宋_GB2312" w:cs="仿宋_GB2312"/>
                <w:color w:val="auto"/>
                <w:szCs w:val="21"/>
              </w:rPr>
              <w:t>有效评标价范围：</w:t>
            </w:r>
          </w:p>
          <w:p>
            <w:pPr>
              <w:spacing w:line="300" w:lineRule="exact"/>
              <w:ind w:left="42" w:leftChars="20" w:right="42" w:rightChars="20" w:firstLine="420" w:firstLineChars="200"/>
              <w:rPr>
                <w:rFonts w:ascii="仿宋_GB2312" w:hAnsi="仿宋_GB2312" w:eastAsia="仿宋_GB2312" w:cs="仿宋_GB2312"/>
                <w:color w:val="auto"/>
                <w:szCs w:val="21"/>
              </w:rPr>
            </w:pPr>
            <w:r>
              <w:rPr>
                <w:rFonts w:hint="eastAsia" w:ascii="仿宋_GB2312" w:hAnsi="仿宋_GB2312" w:eastAsia="仿宋_GB2312" w:cs="仿宋_GB2312"/>
                <w:snapToGrid w:val="0"/>
                <w:color w:val="auto"/>
                <w:szCs w:val="21"/>
              </w:rPr>
              <w:t>有效评标价范围：</w:t>
            </w:r>
            <w:r>
              <w:rPr>
                <w:rFonts w:hint="eastAsia" w:ascii="仿宋_GB2312" w:hAnsi="仿宋_GB2312" w:eastAsia="仿宋_GB2312" w:cs="仿宋_GB2312"/>
                <w:color w:val="auto"/>
                <w:szCs w:val="21"/>
              </w:rPr>
              <w:t>不大于最高评标限价的评标价为</w:t>
            </w:r>
            <w:r>
              <w:rPr>
                <w:rFonts w:hint="eastAsia" w:ascii="仿宋_GB2312" w:hAnsi="仿宋_GB2312" w:eastAsia="仿宋_GB2312" w:cs="仿宋_GB2312"/>
                <w:snapToGrid w:val="0"/>
                <w:color w:val="auto"/>
                <w:szCs w:val="21"/>
              </w:rPr>
              <w:t>有效评标价</w:t>
            </w:r>
            <w:r>
              <w:rPr>
                <w:rFonts w:hint="eastAsia" w:ascii="仿宋_GB2312" w:hAnsi="仿宋_GB2312" w:eastAsia="仿宋_GB2312" w:cs="仿宋_GB2312"/>
                <w:color w:val="auto"/>
                <w:szCs w:val="21"/>
              </w:rPr>
              <w:t>。若大于最高评标限价的评标价，将否决其投标。</w:t>
            </w:r>
          </w:p>
          <w:p>
            <w:pPr>
              <w:spacing w:line="300" w:lineRule="exact"/>
              <w:ind w:left="42" w:leftChars="20" w:right="42" w:rightChars="2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(4)评标基准价的计算：</w:t>
            </w:r>
          </w:p>
          <w:p>
            <w:pPr>
              <w:spacing w:line="300" w:lineRule="exact"/>
              <w:ind w:left="42" w:leftChars="20" w:right="42" w:rightChars="20" w:firstLine="420" w:firstLineChars="200"/>
              <w:rPr>
                <w:rFonts w:ascii="仿宋_GB2312" w:hAnsi="仿宋_GB2312" w:eastAsia="仿宋_GB2312" w:cs="仿宋_GB2312"/>
                <w:color w:val="auto"/>
                <w:szCs w:val="21"/>
              </w:rPr>
            </w:pPr>
            <w:r>
              <w:rPr>
                <w:rFonts w:hint="eastAsia" w:ascii="仿宋_GB2312" w:hAnsi="仿宋_GB2312" w:eastAsia="仿宋_GB2312" w:cs="仿宋_GB2312"/>
                <w:snapToGrid w:val="0"/>
                <w:color w:val="auto"/>
                <w:szCs w:val="21"/>
              </w:rPr>
              <w:t>参与评标基准价计算的评标价范围：参与评标基准价计算的评标价</w:t>
            </w:r>
            <w:r>
              <w:rPr>
                <w:rFonts w:hint="eastAsia" w:ascii="仿宋_GB2312" w:hAnsi="仿宋_GB2312" w:eastAsia="仿宋_GB2312" w:cs="仿宋_GB2312"/>
                <w:color w:val="auto"/>
                <w:szCs w:val="21"/>
              </w:rPr>
              <w:t>≤最高评标限价的100%。</w:t>
            </w:r>
          </w:p>
          <w:p>
            <w:pPr>
              <w:spacing w:line="300" w:lineRule="exact"/>
              <w:ind w:left="42" w:leftChars="20" w:right="42" w:rightChars="20" w:firstLine="420" w:firstLineChars="200"/>
              <w:rPr>
                <w:rFonts w:ascii="仿宋_GB2312" w:hAnsi="仿宋_GB2312" w:eastAsia="仿宋_GB2312" w:cs="仿宋_GB2312"/>
                <w:b/>
                <w:bCs/>
                <w:snapToGrid w:val="0"/>
                <w:color w:val="auto"/>
                <w:szCs w:val="21"/>
              </w:rPr>
            </w:pPr>
            <w:r>
              <w:rPr>
                <w:rFonts w:hint="eastAsia" w:ascii="仿宋_GB2312" w:hAnsi="仿宋_GB2312" w:eastAsia="仿宋_GB2312" w:cs="仿宋_GB2312"/>
                <w:snapToGrid w:val="0"/>
                <w:color w:val="auto"/>
                <w:szCs w:val="21"/>
              </w:rPr>
              <w:t>参与评标基准价的评标价平均值计算：</w:t>
            </w:r>
            <w:r>
              <w:rPr>
                <w:rStyle w:val="34"/>
                <w:rFonts w:hint="eastAsia" w:ascii="仿宋_GB2312" w:hAnsi="仿宋_GB2312" w:eastAsia="仿宋_GB2312" w:cs="仿宋_GB2312"/>
                <w:color w:val="auto"/>
                <w:sz w:val="21"/>
                <w:szCs w:val="21"/>
              </w:rPr>
              <w:t>除按第二章“投标人须知”第20.5款项规定投标文件开启现场被宣布为不进入评标基准价计算的投标报价之外</w:t>
            </w:r>
            <w:r>
              <w:rPr>
                <w:rFonts w:hint="eastAsia" w:ascii="仿宋_GB2312" w:hAnsi="仿宋_GB2312" w:eastAsia="仿宋_GB2312" w:cs="仿宋_GB2312"/>
                <w:color w:val="auto"/>
                <w:szCs w:val="21"/>
              </w:rPr>
              <w:t>，在上述确定的</w:t>
            </w:r>
            <w:r>
              <w:rPr>
                <w:rFonts w:hint="eastAsia" w:ascii="仿宋_GB2312" w:hAnsi="仿宋_GB2312" w:eastAsia="仿宋_GB2312" w:cs="仿宋_GB2312"/>
                <w:snapToGrid w:val="0"/>
                <w:color w:val="auto"/>
                <w:szCs w:val="21"/>
              </w:rPr>
              <w:t>参与评标基准价计算范围内的评标价</w:t>
            </w:r>
            <w:r>
              <w:rPr>
                <w:rFonts w:hint="eastAsia" w:ascii="仿宋_GB2312" w:hAnsi="仿宋_GB2312" w:eastAsia="仿宋_GB2312" w:cs="仿宋_GB2312"/>
                <w:color w:val="auto"/>
                <w:szCs w:val="21"/>
              </w:rPr>
              <w:t>的算术平均值即为</w:t>
            </w:r>
            <w:r>
              <w:rPr>
                <w:rFonts w:hint="eastAsia" w:ascii="仿宋_GB2312" w:hAnsi="仿宋_GB2312" w:eastAsia="仿宋_GB2312" w:cs="仿宋_GB2312"/>
                <w:snapToGrid w:val="0"/>
                <w:color w:val="auto"/>
                <w:szCs w:val="21"/>
              </w:rPr>
              <w:t>参与评标基准价计算的有效</w:t>
            </w:r>
            <w:r>
              <w:rPr>
                <w:rFonts w:hint="eastAsia" w:ascii="仿宋_GB2312" w:hAnsi="仿宋_GB2312" w:eastAsia="仿宋_GB2312" w:cs="仿宋_GB2312"/>
                <w:color w:val="auto"/>
                <w:szCs w:val="21"/>
              </w:rPr>
              <w:t>评标价平均值。</w:t>
            </w:r>
          </w:p>
          <w:p>
            <w:pPr>
              <w:spacing w:line="300" w:lineRule="exact"/>
              <w:ind w:left="42" w:leftChars="20" w:right="42" w:rightChars="20" w:firstLine="422" w:firstLineChars="200"/>
              <w:rPr>
                <w:rFonts w:ascii="仿宋_GB2312" w:hAnsi="仿宋_GB2312" w:eastAsia="仿宋_GB2312" w:cs="仿宋_GB2312"/>
                <w:b/>
                <w:bCs/>
                <w:snapToGrid w:val="0"/>
                <w:color w:val="auto"/>
                <w:szCs w:val="21"/>
              </w:rPr>
            </w:pPr>
            <w:r>
              <w:rPr>
                <w:rFonts w:hint="eastAsia" w:ascii="仿宋_GB2312" w:hAnsi="仿宋_GB2312" w:eastAsia="仿宋_GB2312" w:cs="仿宋_GB2312"/>
                <w:b/>
                <w:bCs/>
                <w:snapToGrid w:val="0"/>
                <w:color w:val="auto"/>
                <w:szCs w:val="21"/>
              </w:rPr>
              <w:t>即使某投标文件未通过形式评审与响应性评审，如其报价处于参与评标基准价计算的评标价的有效范围内，其评标价仍应参与有效评标价平均值的计算。</w:t>
            </w:r>
          </w:p>
          <w:p>
            <w:pPr>
              <w:spacing w:line="300" w:lineRule="exact"/>
              <w:ind w:left="42" w:leftChars="20" w:right="42" w:rightChars="2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(5)评标基准价的确定：</w:t>
            </w:r>
          </w:p>
          <w:p>
            <w:pPr>
              <w:spacing w:line="300" w:lineRule="exact"/>
              <w:ind w:left="42" w:leftChars="20" w:right="42" w:rightChars="20" w:firstLine="420" w:firstLineChars="200"/>
              <w:rPr>
                <w:rFonts w:ascii="仿宋_GB2312" w:hAnsi="仿宋_GB2312" w:eastAsia="仿宋_GB2312" w:cs="仿宋_GB2312"/>
                <w:color w:val="auto"/>
                <w:szCs w:val="21"/>
              </w:rPr>
            </w:pPr>
            <w:r>
              <w:rPr>
                <w:rFonts w:hint="eastAsia" w:ascii="仿宋_GB2312" w:hAnsi="仿宋_GB2312" w:eastAsia="仿宋_GB2312" w:cs="仿宋_GB2312"/>
                <w:snapToGrid w:val="0"/>
                <w:color w:val="auto"/>
                <w:szCs w:val="21"/>
              </w:rPr>
              <w:t>评标基准价=参与评标基准价计算的有效评标价的平均值；</w:t>
            </w:r>
          </w:p>
          <w:p>
            <w:pPr>
              <w:spacing w:line="300" w:lineRule="exact"/>
              <w:ind w:left="42" w:leftChars="20" w:right="42" w:rightChars="20" w:firstLine="420" w:firstLineChars="200"/>
              <w:rPr>
                <w:rFonts w:ascii="仿宋_GB2312" w:hAnsi="仿宋_GB2312" w:eastAsia="仿宋_GB2312" w:cs="仿宋_GB2312"/>
                <w:snapToGrid w:val="0"/>
                <w:color w:val="auto"/>
                <w:szCs w:val="21"/>
              </w:rPr>
            </w:pPr>
            <w:r>
              <w:rPr>
                <w:rFonts w:hint="eastAsia" w:ascii="仿宋_GB2312" w:hAnsi="仿宋_GB2312" w:eastAsia="仿宋_GB2312" w:cs="仿宋_GB2312"/>
                <w:color w:val="auto"/>
                <w:szCs w:val="21"/>
              </w:rPr>
              <w:t>备注：最高评标限价、评标基准价四舍五入至个位整数。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4" w:hRule="exact"/>
        </w:trPr>
        <w:tc>
          <w:tcPr>
            <w:tcW w:w="911" w:type="dxa"/>
            <w:shd w:val="clear" w:color="auto" w:fill="FFFFFF"/>
            <w:vAlign w:val="center"/>
          </w:tcPr>
          <w:p>
            <w:pPr>
              <w:ind w:left="42" w:leftChars="20" w:right="42" w:rightChars="2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highlight w:val="none"/>
              </w:rPr>
              <w:t>4.4.4</w:t>
            </w:r>
          </w:p>
        </w:tc>
        <w:tc>
          <w:tcPr>
            <w:tcW w:w="1131" w:type="dxa"/>
            <w:shd w:val="clear" w:color="auto" w:fill="FFFFFF"/>
            <w:vAlign w:val="center"/>
          </w:tcPr>
          <w:p>
            <w:pPr>
              <w:spacing w:line="240" w:lineRule="atLeast"/>
              <w:ind w:left="42" w:leftChars="20" w:right="42" w:rightChars="20"/>
              <w:jc w:val="center"/>
              <w:rPr>
                <w:rFonts w:ascii="仿宋_GB2312" w:hAnsi="仿宋_GB2312" w:eastAsia="仿宋_GB2312" w:cs="仿宋_GB2312"/>
                <w:color w:val="auto"/>
                <w:szCs w:val="21"/>
                <w:lang w:val="zh-CN"/>
              </w:rPr>
            </w:pPr>
            <w:r>
              <w:rPr>
                <w:rFonts w:hint="eastAsia" w:ascii="仿宋_GB2312" w:hAnsi="仿宋_GB2312" w:eastAsia="仿宋_GB2312" w:cs="仿宋_GB2312"/>
                <w:color w:val="auto"/>
                <w:szCs w:val="21"/>
              </w:rPr>
              <w:t>评标价的偏差率计算公式</w:t>
            </w:r>
          </w:p>
        </w:tc>
        <w:tc>
          <w:tcPr>
            <w:tcW w:w="7172" w:type="dxa"/>
            <w:shd w:val="clear" w:color="auto" w:fill="FFFFFF"/>
            <w:vAlign w:val="center"/>
          </w:tcPr>
          <w:p>
            <w:pPr>
              <w:ind w:left="42" w:leftChars="20" w:right="42" w:rightChars="2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偏差率=100% ×(投标人评标价－评标基准价)/评标基准价</w:t>
            </w:r>
          </w:p>
        </w:tc>
      </w:tr>
    </w:tbl>
    <w:p>
      <w:pPr>
        <w:numPr>
          <w:ilvl w:val="0"/>
          <w:numId w:val="4"/>
        </w:num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未在规定时间内递交有效书面说明书的。</w:t>
      </w:r>
    </w:p>
    <w:p>
      <w:pPr>
        <w:pStyle w:val="24"/>
        <w:rPr>
          <w:rFonts w:ascii="仿宋_GB2312" w:hAnsi="仿宋_GB2312" w:eastAsia="仿宋_GB2312" w:cs="仿宋_GB2312"/>
          <w:b/>
          <w:bCs/>
          <w:color w:val="auto"/>
          <w:spacing w:val="0"/>
          <w:kern w:val="2"/>
          <w:sz w:val="21"/>
          <w:szCs w:val="21"/>
        </w:rPr>
      </w:pPr>
      <w:r>
        <w:rPr>
          <w:rFonts w:hint="eastAsia" w:ascii="仿宋_GB2312" w:hAnsi="仿宋_GB2312" w:eastAsia="仿宋_GB2312" w:cs="仿宋_GB2312"/>
          <w:b/>
          <w:bCs/>
          <w:color w:val="auto"/>
          <w:spacing w:val="0"/>
          <w:kern w:val="2"/>
          <w:sz w:val="21"/>
          <w:szCs w:val="21"/>
        </w:rPr>
        <w:t>4.4 分值构成与评分标准</w:t>
      </w:r>
    </w:p>
    <w:p>
      <w:pPr>
        <w:pStyle w:val="25"/>
        <w:rPr>
          <w:color w:val="auto"/>
        </w:rPr>
      </w:pPr>
    </w:p>
    <w:p>
      <w:pPr>
        <w:pStyle w:val="25"/>
        <w:rPr>
          <w:color w:val="auto"/>
        </w:rPr>
      </w:pPr>
    </w:p>
    <w:p>
      <w:pPr>
        <w:pStyle w:val="25"/>
        <w:rPr>
          <w:color w:val="auto"/>
        </w:rPr>
      </w:pPr>
    </w:p>
    <w:p>
      <w:pPr>
        <w:pStyle w:val="25"/>
        <w:rPr>
          <w:color w:val="auto"/>
        </w:rPr>
      </w:pPr>
    </w:p>
    <w:p>
      <w:pPr>
        <w:pStyle w:val="25"/>
        <w:rPr>
          <w:color w:val="auto"/>
        </w:rPr>
      </w:pPr>
    </w:p>
    <w:p>
      <w:pPr>
        <w:pStyle w:val="25"/>
        <w:rPr>
          <w:color w:val="auto"/>
        </w:rPr>
      </w:pPr>
    </w:p>
    <w:p>
      <w:pPr>
        <w:pStyle w:val="25"/>
        <w:rPr>
          <w:color w:val="auto"/>
        </w:rPr>
      </w:pPr>
    </w:p>
    <w:p>
      <w:pPr>
        <w:pStyle w:val="25"/>
        <w:rPr>
          <w:color w:val="auto"/>
        </w:rPr>
      </w:pPr>
    </w:p>
    <w:p>
      <w:pPr>
        <w:pStyle w:val="25"/>
        <w:rPr>
          <w:color w:val="auto"/>
        </w:rPr>
      </w:pPr>
    </w:p>
    <w:p>
      <w:pPr>
        <w:pStyle w:val="25"/>
        <w:rPr>
          <w:color w:val="auto"/>
        </w:rPr>
      </w:pPr>
    </w:p>
    <w:p>
      <w:pPr>
        <w:pStyle w:val="25"/>
        <w:rPr>
          <w:color w:val="auto"/>
        </w:rPr>
      </w:pPr>
    </w:p>
    <w:tbl>
      <w:tblPr>
        <w:tblStyle w:val="19"/>
        <w:tblW w:w="9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726"/>
        <w:gridCol w:w="1175"/>
        <w:gridCol w:w="1161"/>
        <w:gridCol w:w="1222"/>
        <w:gridCol w:w="944"/>
        <w:gridCol w:w="3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412" w:type="dxa"/>
            <w:gridSpan w:val="6"/>
          </w:tcPr>
          <w:p>
            <w:pPr>
              <w:ind w:left="42" w:leftChars="20" w:right="42" w:rightChars="20"/>
              <w:jc w:val="center"/>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评分因素与权重分值</w:t>
            </w:r>
          </w:p>
        </w:tc>
        <w:tc>
          <w:tcPr>
            <w:tcW w:w="3198" w:type="dxa"/>
            <w:vMerge w:val="restart"/>
            <w:vAlign w:val="center"/>
          </w:tcPr>
          <w:p>
            <w:pPr>
              <w:ind w:left="42" w:leftChars="20" w:right="42" w:rightChars="20"/>
              <w:jc w:val="center"/>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84" w:type="dxa"/>
            <w:vAlign w:val="center"/>
          </w:tcPr>
          <w:p>
            <w:pPr>
              <w:ind w:left="42" w:leftChars="20" w:right="42" w:rightChars="20"/>
              <w:jc w:val="center"/>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条款号</w:t>
            </w:r>
          </w:p>
        </w:tc>
        <w:tc>
          <w:tcPr>
            <w:tcW w:w="1901" w:type="dxa"/>
            <w:gridSpan w:val="2"/>
            <w:vAlign w:val="center"/>
          </w:tcPr>
          <w:p>
            <w:pPr>
              <w:ind w:left="42" w:leftChars="20" w:right="42" w:rightChars="20"/>
              <w:jc w:val="center"/>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评分因素</w:t>
            </w:r>
          </w:p>
        </w:tc>
        <w:tc>
          <w:tcPr>
            <w:tcW w:w="1161" w:type="dxa"/>
            <w:vAlign w:val="center"/>
          </w:tcPr>
          <w:p>
            <w:pPr>
              <w:ind w:left="42" w:leftChars="20" w:right="42" w:rightChars="20"/>
              <w:jc w:val="center"/>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评分因素权重分值</w:t>
            </w:r>
          </w:p>
        </w:tc>
        <w:tc>
          <w:tcPr>
            <w:tcW w:w="1222" w:type="dxa"/>
            <w:vAlign w:val="center"/>
          </w:tcPr>
          <w:p>
            <w:pPr>
              <w:ind w:left="42" w:leftChars="20" w:right="42" w:rightChars="20"/>
              <w:jc w:val="center"/>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各评分因素细分项</w:t>
            </w:r>
          </w:p>
        </w:tc>
        <w:tc>
          <w:tcPr>
            <w:tcW w:w="944" w:type="dxa"/>
            <w:vAlign w:val="center"/>
          </w:tcPr>
          <w:p>
            <w:pPr>
              <w:ind w:left="42" w:leftChars="20" w:right="42" w:rightChars="20"/>
              <w:jc w:val="center"/>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分值</w:t>
            </w:r>
          </w:p>
        </w:tc>
        <w:tc>
          <w:tcPr>
            <w:tcW w:w="3198" w:type="dxa"/>
            <w:vMerge w:val="continue"/>
          </w:tcPr>
          <w:p>
            <w:pPr>
              <w:ind w:left="42" w:leftChars="20" w:right="42" w:rightChars="20"/>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vMerge w:val="restart"/>
            <w:vAlign w:val="center"/>
          </w:tcPr>
          <w:p>
            <w:pPr>
              <w:ind w:left="42" w:leftChars="20" w:right="42" w:rightChars="2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highlight w:val="none"/>
              </w:rPr>
              <w:t>4.4.5</w:t>
            </w:r>
          </w:p>
        </w:tc>
        <w:tc>
          <w:tcPr>
            <w:tcW w:w="1901" w:type="dxa"/>
            <w:gridSpan w:val="2"/>
            <w:vMerge w:val="restart"/>
            <w:vAlign w:val="center"/>
          </w:tcPr>
          <w:p>
            <w:pPr>
              <w:ind w:left="42" w:leftChars="20" w:right="42" w:rightChars="2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实施方案</w:t>
            </w:r>
          </w:p>
        </w:tc>
        <w:tc>
          <w:tcPr>
            <w:tcW w:w="1161" w:type="dxa"/>
            <w:vMerge w:val="restart"/>
            <w:vAlign w:val="center"/>
          </w:tcPr>
          <w:p>
            <w:pPr>
              <w:ind w:left="42" w:leftChars="20" w:right="42" w:rightChars="2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lang w:val="en-US" w:eastAsia="zh-CN"/>
              </w:rPr>
              <w:t>40</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分</w:t>
            </w:r>
          </w:p>
        </w:tc>
        <w:tc>
          <w:tcPr>
            <w:tcW w:w="1222" w:type="dxa"/>
            <w:vAlign w:val="center"/>
          </w:tcPr>
          <w:p>
            <w:pPr>
              <w:ind w:left="42" w:leftChars="20" w:right="42" w:rightChars="20"/>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对采购需求，服务目标、内容的理解</w:t>
            </w:r>
          </w:p>
        </w:tc>
        <w:tc>
          <w:tcPr>
            <w:tcW w:w="944" w:type="dxa"/>
            <w:vAlign w:val="center"/>
          </w:tcPr>
          <w:p>
            <w:pPr>
              <w:ind w:right="42" w:rightChars="20"/>
              <w:jc w:val="center"/>
              <w:rPr>
                <w:rFonts w:ascii="仿宋_GB2312" w:hAnsi="仿宋_GB2312" w:eastAsia="仿宋_GB2312" w:cs="仿宋_GB2312"/>
                <w:color w:val="auto"/>
                <w:szCs w:val="21"/>
              </w:rPr>
            </w:pPr>
            <w:r>
              <w:rPr>
                <w:rStyle w:val="33"/>
                <w:rFonts w:hint="eastAsia" w:ascii="仿宋_GB2312" w:hAnsi="仿宋_GB2312" w:eastAsia="仿宋_GB2312" w:cs="仿宋_GB2312"/>
                <w:color w:val="auto"/>
                <w:sz w:val="21"/>
                <w:szCs w:val="21"/>
                <w:u w:val="single"/>
              </w:rPr>
              <w:t xml:space="preserve"> 1</w:t>
            </w:r>
            <w:r>
              <w:rPr>
                <w:rStyle w:val="33"/>
                <w:rFonts w:hint="eastAsia" w:ascii="仿宋_GB2312" w:hAnsi="仿宋_GB2312" w:eastAsia="仿宋_GB2312" w:cs="仿宋_GB2312"/>
                <w:color w:val="auto"/>
                <w:sz w:val="21"/>
                <w:szCs w:val="21"/>
                <w:u w:val="single"/>
                <w:lang w:val="en-US" w:eastAsia="zh-CN"/>
              </w:rPr>
              <w:t>5</w:t>
            </w:r>
            <w:r>
              <w:rPr>
                <w:rStyle w:val="33"/>
                <w:rFonts w:hint="eastAsia" w:ascii="仿宋_GB2312" w:hAnsi="仿宋_GB2312" w:eastAsia="仿宋_GB2312" w:cs="仿宋_GB2312"/>
                <w:color w:val="auto"/>
                <w:sz w:val="21"/>
                <w:szCs w:val="21"/>
                <w:u w:val="single"/>
              </w:rPr>
              <w:t xml:space="preserve"> </w:t>
            </w:r>
            <w:r>
              <w:rPr>
                <w:rFonts w:hint="eastAsia" w:ascii="仿宋_GB2312" w:hAnsi="仿宋_GB2312" w:eastAsia="仿宋_GB2312" w:cs="仿宋_GB2312"/>
                <w:color w:val="auto"/>
                <w:szCs w:val="21"/>
              </w:rPr>
              <w:t>分</w:t>
            </w:r>
          </w:p>
        </w:tc>
        <w:tc>
          <w:tcPr>
            <w:tcW w:w="3198" w:type="dxa"/>
            <w:vAlign w:val="center"/>
          </w:tcPr>
          <w:p>
            <w:pPr>
              <w:ind w:left="42" w:leftChars="20" w:right="42" w:rightChars="20"/>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对本项目采购需求，服务目标和内容的理解进行评审。</w:t>
            </w:r>
          </w:p>
          <w:p>
            <w:pPr>
              <w:ind w:left="42" w:leftChars="20" w:right="42" w:rightChars="20"/>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（1）采购需求理解全面、服务目标和内容理解透彻、思路清晰明确，有针对性，得（11-15]分；</w:t>
            </w:r>
          </w:p>
          <w:p>
            <w:pPr>
              <w:ind w:left="42" w:leftChars="20" w:right="42" w:rightChars="20"/>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（2）采购需求、服务目标和内容理解较全面，较有针对性，得（7-11]分；</w:t>
            </w:r>
          </w:p>
          <w:p>
            <w:pPr>
              <w:ind w:left="42" w:leftChars="20" w:right="42" w:rightChars="20"/>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（3）采购需求、服务目标和内容理解一般，无针对性，得（3-7]分；</w:t>
            </w:r>
          </w:p>
          <w:p>
            <w:pPr>
              <w:ind w:left="42" w:leftChars="20" w:right="42" w:rightChars="20"/>
              <w:rPr>
                <w:rFonts w:hint="default" w:eastAsia="仿宋_GB2312"/>
                <w:color w:val="auto"/>
                <w:lang w:val="en-US" w:eastAsia="zh-CN"/>
              </w:rPr>
            </w:pPr>
            <w:r>
              <w:rPr>
                <w:rFonts w:hint="eastAsia" w:ascii="仿宋_GB2312" w:hAnsi="仿宋_GB2312" w:eastAsia="仿宋_GB2312" w:cs="仿宋_GB2312"/>
                <w:color w:val="auto"/>
                <w:szCs w:val="21"/>
                <w:lang w:val="en-US" w:eastAsia="zh-CN"/>
              </w:rPr>
              <w:t>（4）采购需求、服务目标和内容理解、针对性差，或没有提供对项目采购需求、服务目标和内容的理解论述，得[0-3]分。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vMerge w:val="continue"/>
            <w:vAlign w:val="center"/>
          </w:tcPr>
          <w:p>
            <w:pPr>
              <w:ind w:left="42" w:leftChars="20" w:right="42" w:rightChars="20"/>
              <w:jc w:val="center"/>
              <w:rPr>
                <w:rFonts w:ascii="仿宋_GB2312" w:hAnsi="仿宋_GB2312" w:eastAsia="仿宋_GB2312" w:cs="仿宋_GB2312"/>
                <w:color w:val="auto"/>
                <w:szCs w:val="21"/>
                <w:highlight w:val="yellow"/>
              </w:rPr>
            </w:pPr>
          </w:p>
        </w:tc>
        <w:tc>
          <w:tcPr>
            <w:tcW w:w="1901" w:type="dxa"/>
            <w:gridSpan w:val="2"/>
            <w:vMerge w:val="continue"/>
            <w:vAlign w:val="center"/>
          </w:tcPr>
          <w:p>
            <w:pPr>
              <w:ind w:left="42" w:leftChars="20" w:right="42" w:rightChars="20"/>
              <w:jc w:val="center"/>
              <w:rPr>
                <w:rFonts w:ascii="仿宋_GB2312" w:hAnsi="仿宋_GB2312" w:eastAsia="仿宋_GB2312" w:cs="仿宋_GB2312"/>
                <w:color w:val="auto"/>
                <w:szCs w:val="21"/>
              </w:rPr>
            </w:pPr>
          </w:p>
        </w:tc>
        <w:tc>
          <w:tcPr>
            <w:tcW w:w="1161" w:type="dxa"/>
            <w:vMerge w:val="continue"/>
            <w:vAlign w:val="center"/>
          </w:tcPr>
          <w:p>
            <w:pPr>
              <w:ind w:left="42" w:leftChars="20" w:right="42" w:rightChars="20"/>
              <w:jc w:val="center"/>
              <w:rPr>
                <w:rFonts w:ascii="仿宋_GB2312" w:hAnsi="仿宋_GB2312" w:eastAsia="仿宋_GB2312" w:cs="仿宋_GB2312"/>
                <w:color w:val="auto"/>
                <w:szCs w:val="21"/>
                <w:u w:val="single"/>
              </w:rPr>
            </w:pPr>
          </w:p>
        </w:tc>
        <w:tc>
          <w:tcPr>
            <w:tcW w:w="1222" w:type="dxa"/>
            <w:vAlign w:val="center"/>
          </w:tcPr>
          <w:p>
            <w:pPr>
              <w:ind w:left="42" w:leftChars="20" w:right="42" w:rightChars="20"/>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项目服务方案</w:t>
            </w:r>
          </w:p>
        </w:tc>
        <w:tc>
          <w:tcPr>
            <w:tcW w:w="944" w:type="dxa"/>
            <w:vAlign w:val="center"/>
          </w:tcPr>
          <w:p>
            <w:pPr>
              <w:ind w:right="42" w:rightChars="20"/>
              <w:jc w:val="center"/>
              <w:rPr>
                <w:rStyle w:val="33"/>
                <w:rFonts w:ascii="仿宋_GB2312" w:hAnsi="仿宋_GB2312" w:eastAsia="仿宋_GB2312" w:cs="仿宋_GB2312"/>
                <w:color w:val="auto"/>
                <w:sz w:val="21"/>
                <w:szCs w:val="21"/>
                <w:u w:val="single"/>
              </w:rPr>
            </w:pPr>
            <w:r>
              <w:rPr>
                <w:rStyle w:val="33"/>
                <w:rFonts w:hint="eastAsia" w:ascii="仿宋_GB2312" w:hAnsi="仿宋_GB2312" w:eastAsia="仿宋_GB2312" w:cs="仿宋_GB2312"/>
                <w:color w:val="auto"/>
                <w:sz w:val="21"/>
                <w:szCs w:val="21"/>
                <w:u w:val="single"/>
              </w:rPr>
              <w:t xml:space="preserve"> </w:t>
            </w:r>
            <w:r>
              <w:rPr>
                <w:rStyle w:val="33"/>
                <w:rFonts w:hint="eastAsia" w:ascii="仿宋_GB2312" w:hAnsi="仿宋_GB2312" w:eastAsia="仿宋_GB2312" w:cs="仿宋_GB2312"/>
                <w:color w:val="auto"/>
                <w:sz w:val="21"/>
                <w:szCs w:val="21"/>
                <w:u w:val="single"/>
                <w:lang w:val="en-US" w:eastAsia="zh-CN"/>
              </w:rPr>
              <w:t>15</w:t>
            </w:r>
            <w:r>
              <w:rPr>
                <w:rStyle w:val="33"/>
                <w:rFonts w:hint="eastAsia" w:ascii="仿宋_GB2312" w:hAnsi="仿宋_GB2312" w:eastAsia="仿宋_GB2312" w:cs="仿宋_GB2312"/>
                <w:color w:val="auto"/>
                <w:sz w:val="21"/>
                <w:szCs w:val="21"/>
                <w:u w:val="single"/>
              </w:rPr>
              <w:t xml:space="preserve"> </w:t>
            </w:r>
            <w:r>
              <w:rPr>
                <w:rFonts w:hint="eastAsia" w:ascii="仿宋_GB2312" w:hAnsi="仿宋_GB2312" w:eastAsia="仿宋_GB2312" w:cs="仿宋_GB2312"/>
                <w:color w:val="auto"/>
                <w:szCs w:val="21"/>
              </w:rPr>
              <w:t>分</w:t>
            </w:r>
          </w:p>
        </w:tc>
        <w:tc>
          <w:tcPr>
            <w:tcW w:w="3198" w:type="dxa"/>
            <w:vAlign w:val="center"/>
          </w:tcPr>
          <w:p>
            <w:pPr>
              <w:ind w:left="42" w:leftChars="20" w:right="42" w:rightChars="20"/>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 xml:space="preserve">对项目服务方案进行评审，包括但不限于总体思路、工作目标、工作流程等内容。 </w:t>
            </w:r>
          </w:p>
          <w:p>
            <w:pPr>
              <w:ind w:left="42" w:leftChars="20" w:right="42" w:rightChars="20"/>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（1）具有完整的项目服务方案，方案内容详细、切实可行，满足项目需求，得（11-15]分；</w:t>
            </w:r>
          </w:p>
          <w:p>
            <w:pPr>
              <w:ind w:left="42" w:leftChars="20" w:right="42" w:rightChars="20"/>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（2）方案内容较详细，较满足项目需求，得（7-11]分；</w:t>
            </w:r>
          </w:p>
          <w:p>
            <w:pPr>
              <w:ind w:left="42" w:leftChars="20" w:right="42" w:rightChars="20"/>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（3）方案内容一般，基本满足项目需求，得（3-7]分；</w:t>
            </w:r>
          </w:p>
          <w:p>
            <w:pPr>
              <w:ind w:left="42" w:leftChars="20" w:right="42" w:rightChars="20"/>
              <w:rPr>
                <w:rFonts w:hint="default" w:eastAsia="仿宋_GB2312"/>
                <w:color w:val="auto"/>
                <w:lang w:val="en-US" w:eastAsia="zh-CN"/>
              </w:rPr>
            </w:pPr>
            <w:r>
              <w:rPr>
                <w:rFonts w:hint="eastAsia" w:ascii="仿宋_GB2312" w:hAnsi="仿宋_GB2312" w:eastAsia="仿宋_GB2312" w:cs="仿宋_GB2312"/>
                <w:color w:val="auto"/>
                <w:szCs w:val="21"/>
                <w:lang w:val="en-US" w:eastAsia="zh-CN"/>
              </w:rPr>
              <w:t>（4）方案内容，部分满足项目需求，或没有提供项目负责方案的，得[0-3]分。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vMerge w:val="continue"/>
            <w:vAlign w:val="center"/>
          </w:tcPr>
          <w:p>
            <w:pPr>
              <w:ind w:left="42" w:leftChars="20" w:right="42" w:rightChars="20"/>
              <w:jc w:val="center"/>
              <w:rPr>
                <w:rFonts w:ascii="仿宋_GB2312" w:hAnsi="仿宋_GB2312" w:eastAsia="仿宋_GB2312" w:cs="仿宋_GB2312"/>
                <w:color w:val="auto"/>
                <w:szCs w:val="21"/>
                <w:highlight w:val="yellow"/>
              </w:rPr>
            </w:pPr>
          </w:p>
        </w:tc>
        <w:tc>
          <w:tcPr>
            <w:tcW w:w="1901" w:type="dxa"/>
            <w:gridSpan w:val="2"/>
            <w:vMerge w:val="continue"/>
            <w:vAlign w:val="center"/>
          </w:tcPr>
          <w:p>
            <w:pPr>
              <w:ind w:left="42" w:leftChars="20" w:right="42" w:rightChars="20"/>
              <w:jc w:val="center"/>
              <w:rPr>
                <w:rFonts w:ascii="仿宋_GB2312" w:hAnsi="仿宋_GB2312" w:eastAsia="仿宋_GB2312" w:cs="仿宋_GB2312"/>
                <w:color w:val="auto"/>
                <w:szCs w:val="21"/>
              </w:rPr>
            </w:pPr>
          </w:p>
        </w:tc>
        <w:tc>
          <w:tcPr>
            <w:tcW w:w="1161" w:type="dxa"/>
            <w:vMerge w:val="continue"/>
            <w:vAlign w:val="center"/>
          </w:tcPr>
          <w:p>
            <w:pPr>
              <w:ind w:left="42" w:leftChars="20" w:right="42" w:rightChars="20"/>
              <w:jc w:val="center"/>
              <w:rPr>
                <w:rFonts w:ascii="仿宋_GB2312" w:hAnsi="仿宋_GB2312" w:eastAsia="仿宋_GB2312" w:cs="仿宋_GB2312"/>
                <w:color w:val="auto"/>
                <w:szCs w:val="21"/>
                <w:u w:val="single"/>
              </w:rPr>
            </w:pPr>
          </w:p>
        </w:tc>
        <w:tc>
          <w:tcPr>
            <w:tcW w:w="1222" w:type="dxa"/>
            <w:vAlign w:val="center"/>
          </w:tcPr>
          <w:p>
            <w:pPr>
              <w:ind w:left="42" w:leftChars="20" w:right="42" w:rightChars="20"/>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服务保障措施</w:t>
            </w:r>
          </w:p>
        </w:tc>
        <w:tc>
          <w:tcPr>
            <w:tcW w:w="944" w:type="dxa"/>
            <w:vAlign w:val="center"/>
          </w:tcPr>
          <w:p>
            <w:pPr>
              <w:ind w:right="42" w:rightChars="20"/>
              <w:jc w:val="center"/>
              <w:rPr>
                <w:rStyle w:val="33"/>
                <w:rFonts w:ascii="仿宋_GB2312" w:hAnsi="仿宋_GB2312" w:eastAsia="仿宋_GB2312" w:cs="仿宋_GB2312"/>
                <w:color w:val="auto"/>
                <w:sz w:val="21"/>
                <w:szCs w:val="21"/>
                <w:u w:val="single"/>
              </w:rPr>
            </w:pPr>
            <w:r>
              <w:rPr>
                <w:rStyle w:val="33"/>
                <w:rFonts w:hint="eastAsia" w:ascii="仿宋_GB2312" w:hAnsi="仿宋_GB2312" w:eastAsia="仿宋_GB2312" w:cs="仿宋_GB2312"/>
                <w:color w:val="auto"/>
                <w:sz w:val="21"/>
                <w:szCs w:val="21"/>
                <w:u w:val="single"/>
              </w:rPr>
              <w:t xml:space="preserve"> </w:t>
            </w:r>
            <w:r>
              <w:rPr>
                <w:rStyle w:val="33"/>
                <w:rFonts w:hint="eastAsia" w:ascii="仿宋_GB2312" w:hAnsi="仿宋_GB2312" w:eastAsia="仿宋_GB2312" w:cs="仿宋_GB2312"/>
                <w:color w:val="auto"/>
                <w:sz w:val="21"/>
                <w:szCs w:val="21"/>
                <w:u w:val="single"/>
                <w:lang w:val="en-US" w:eastAsia="zh-CN"/>
              </w:rPr>
              <w:t>10</w:t>
            </w:r>
            <w:r>
              <w:rPr>
                <w:rStyle w:val="33"/>
                <w:rFonts w:hint="eastAsia" w:ascii="仿宋_GB2312" w:hAnsi="仿宋_GB2312" w:eastAsia="仿宋_GB2312" w:cs="仿宋_GB2312"/>
                <w:color w:val="auto"/>
                <w:sz w:val="21"/>
                <w:szCs w:val="21"/>
                <w:u w:val="single"/>
              </w:rPr>
              <w:t xml:space="preserve"> </w:t>
            </w:r>
            <w:r>
              <w:rPr>
                <w:rFonts w:hint="eastAsia" w:ascii="仿宋_GB2312" w:hAnsi="仿宋_GB2312" w:eastAsia="仿宋_GB2312" w:cs="仿宋_GB2312"/>
                <w:color w:val="auto"/>
                <w:szCs w:val="21"/>
              </w:rPr>
              <w:t>分</w:t>
            </w:r>
          </w:p>
        </w:tc>
        <w:tc>
          <w:tcPr>
            <w:tcW w:w="3198" w:type="dxa"/>
            <w:vAlign w:val="center"/>
          </w:tcPr>
          <w:p>
            <w:pPr>
              <w:autoSpaceDE w:val="0"/>
              <w:autoSpaceDN w:val="0"/>
              <w:adjustRightInd w:val="0"/>
              <w:spacing w:line="400" w:lineRule="exact"/>
              <w:jc w:val="left"/>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根据投标人对本项目提出的服务保障措施进行综合评审：</w:t>
            </w:r>
          </w:p>
          <w:p>
            <w:pPr>
              <w:autoSpaceDE w:val="0"/>
              <w:autoSpaceDN w:val="0"/>
              <w:adjustRightInd w:val="0"/>
              <w:spacing w:line="400" w:lineRule="exact"/>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w:t>
            </w:r>
            <w:r>
              <w:rPr>
                <w:rFonts w:hint="eastAsia" w:ascii="仿宋_GB2312" w:hAnsi="仿宋_GB2312" w:eastAsia="仿宋_GB2312" w:cs="仿宋_GB2312"/>
                <w:color w:val="auto"/>
                <w:szCs w:val="21"/>
                <w:lang w:val="en-US" w:eastAsia="zh-CN"/>
              </w:rPr>
              <w:t>服务保障措施详尽、科学合理，可操作性强的</w:t>
            </w:r>
            <w:r>
              <w:rPr>
                <w:rFonts w:hint="eastAsia" w:ascii="仿宋_GB2312" w:hAnsi="仿宋_GB2312" w:eastAsia="仿宋_GB2312" w:cs="仿宋_GB2312"/>
                <w:color w:val="auto"/>
                <w:szCs w:val="21"/>
              </w:rPr>
              <w:t>，得</w:t>
            </w:r>
            <w:r>
              <w:rPr>
                <w:rFonts w:hint="eastAsia" w:ascii="仿宋_GB2312" w:hAnsi="仿宋_GB2312" w:eastAsia="仿宋_GB2312" w:cs="仿宋_GB2312"/>
                <w:color w:val="auto"/>
                <w:szCs w:val="21"/>
                <w:lang w:val="en-US" w:eastAsia="zh-CN"/>
              </w:rPr>
              <w:t>（7-10]分</w:t>
            </w:r>
            <w:r>
              <w:rPr>
                <w:rFonts w:hint="eastAsia" w:ascii="仿宋_GB2312" w:hAnsi="仿宋_GB2312" w:eastAsia="仿宋_GB2312" w:cs="仿宋_GB2312"/>
                <w:color w:val="auto"/>
                <w:szCs w:val="21"/>
              </w:rPr>
              <w:t>；</w:t>
            </w:r>
          </w:p>
          <w:p>
            <w:pPr>
              <w:autoSpaceDE w:val="0"/>
              <w:autoSpaceDN w:val="0"/>
              <w:adjustRightInd w:val="0"/>
              <w:spacing w:line="400" w:lineRule="exact"/>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w:t>
            </w:r>
            <w:r>
              <w:rPr>
                <w:rFonts w:hint="eastAsia" w:ascii="仿宋_GB2312" w:hAnsi="仿宋_GB2312" w:eastAsia="仿宋_GB2312" w:cs="仿宋_GB2312"/>
                <w:color w:val="auto"/>
                <w:szCs w:val="21"/>
                <w:lang w:val="en-US" w:eastAsia="zh-CN"/>
              </w:rPr>
              <w:t>服务保障措施较详细、较科学合理、可操作性较强的</w:t>
            </w:r>
            <w:r>
              <w:rPr>
                <w:rFonts w:hint="eastAsia" w:ascii="仿宋_GB2312" w:hAnsi="仿宋_GB2312" w:eastAsia="仿宋_GB2312" w:cs="仿宋_GB2312"/>
                <w:color w:val="auto"/>
                <w:szCs w:val="21"/>
              </w:rPr>
              <w:t>，得</w:t>
            </w:r>
            <w:r>
              <w:rPr>
                <w:rFonts w:hint="eastAsia" w:ascii="仿宋_GB2312" w:hAnsi="仿宋_GB2312" w:eastAsia="仿宋_GB2312" w:cs="仿宋_GB2312"/>
                <w:color w:val="auto"/>
                <w:szCs w:val="21"/>
                <w:lang w:val="en-US" w:eastAsia="zh-CN"/>
              </w:rPr>
              <w:t>（4-7]分</w:t>
            </w:r>
            <w:r>
              <w:rPr>
                <w:rFonts w:hint="eastAsia" w:ascii="仿宋_GB2312" w:hAnsi="仿宋_GB2312" w:eastAsia="仿宋_GB2312" w:cs="仿宋_GB2312"/>
                <w:color w:val="auto"/>
                <w:szCs w:val="21"/>
              </w:rPr>
              <w:t>；</w:t>
            </w:r>
          </w:p>
          <w:p>
            <w:pPr>
              <w:autoSpaceDE w:val="0"/>
              <w:autoSpaceDN w:val="0"/>
              <w:adjustRightInd w:val="0"/>
              <w:spacing w:line="400" w:lineRule="exact"/>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w:t>
            </w:r>
            <w:r>
              <w:rPr>
                <w:rFonts w:hint="eastAsia" w:ascii="仿宋_GB2312" w:hAnsi="仿宋_GB2312" w:eastAsia="仿宋_GB2312" w:cs="仿宋_GB2312"/>
                <w:color w:val="auto"/>
                <w:szCs w:val="21"/>
                <w:lang w:val="en-US" w:eastAsia="zh-CN"/>
              </w:rPr>
              <w:t>服务保障措施基本完整、可操作性一般，或没有提供服务保障措施的</w:t>
            </w:r>
            <w:r>
              <w:rPr>
                <w:rFonts w:hint="eastAsia" w:ascii="仿宋_GB2312" w:hAnsi="仿宋_GB2312" w:eastAsia="仿宋_GB2312" w:cs="仿宋_GB2312"/>
                <w:color w:val="auto"/>
                <w:szCs w:val="21"/>
              </w:rPr>
              <w:t>，得</w:t>
            </w:r>
            <w:r>
              <w:rPr>
                <w:rFonts w:hint="eastAsia" w:ascii="仿宋_GB2312" w:hAnsi="仿宋_GB2312" w:eastAsia="仿宋_GB2312" w:cs="仿宋_GB2312"/>
                <w:color w:val="auto"/>
                <w:szCs w:val="21"/>
                <w:lang w:val="en-US" w:eastAsia="zh-CN"/>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1" w:hRule="atLeast"/>
          <w:jc w:val="center"/>
        </w:trPr>
        <w:tc>
          <w:tcPr>
            <w:tcW w:w="1184" w:type="dxa"/>
            <w:vAlign w:val="center"/>
          </w:tcPr>
          <w:p>
            <w:pPr>
              <w:ind w:left="42" w:leftChars="20" w:right="42" w:rightChars="2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4.4.6</w:t>
            </w:r>
          </w:p>
        </w:tc>
        <w:tc>
          <w:tcPr>
            <w:tcW w:w="1901" w:type="dxa"/>
            <w:gridSpan w:val="2"/>
            <w:vAlign w:val="center"/>
          </w:tcPr>
          <w:p>
            <w:pPr>
              <w:ind w:left="42" w:leftChars="20" w:right="42" w:rightChars="2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财务、资信状况</w:t>
            </w:r>
          </w:p>
        </w:tc>
        <w:tc>
          <w:tcPr>
            <w:tcW w:w="1161" w:type="dxa"/>
            <w:vAlign w:val="center"/>
          </w:tcPr>
          <w:p>
            <w:pPr>
              <w:ind w:left="42" w:leftChars="20" w:right="42" w:rightChars="20" w:firstLine="210" w:firstLineChars="100"/>
              <w:rPr>
                <w:rFonts w:ascii="仿宋_GB2312" w:hAnsi="仿宋_GB2312" w:eastAsia="仿宋_GB2312" w:cs="仿宋_GB2312"/>
                <w:color w:val="auto"/>
                <w:szCs w:val="21"/>
              </w:rPr>
            </w:pP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lang w:val="en-US" w:eastAsia="zh-CN"/>
              </w:rPr>
              <w:t>5</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分</w:t>
            </w:r>
          </w:p>
        </w:tc>
        <w:tc>
          <w:tcPr>
            <w:tcW w:w="1222" w:type="dxa"/>
            <w:vAlign w:val="center"/>
          </w:tcPr>
          <w:p>
            <w:pPr>
              <w:ind w:left="42" w:leftChars="20" w:right="42" w:rightChars="2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财务、资信状况</w:t>
            </w:r>
          </w:p>
        </w:tc>
        <w:tc>
          <w:tcPr>
            <w:tcW w:w="944" w:type="dxa"/>
            <w:vAlign w:val="center"/>
          </w:tcPr>
          <w:p>
            <w:pPr>
              <w:ind w:left="42" w:leftChars="20" w:right="42" w:rightChars="20"/>
              <w:rPr>
                <w:rFonts w:ascii="仿宋_GB2312" w:hAnsi="仿宋_GB2312" w:eastAsia="仿宋_GB2312" w:cs="仿宋_GB2312"/>
                <w:color w:val="auto"/>
                <w:szCs w:val="21"/>
              </w:rPr>
            </w:pP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lang w:val="en-US" w:eastAsia="zh-CN"/>
              </w:rPr>
              <w:t>5</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分</w:t>
            </w:r>
          </w:p>
        </w:tc>
        <w:tc>
          <w:tcPr>
            <w:tcW w:w="3198" w:type="dxa"/>
            <w:vAlign w:val="center"/>
          </w:tcPr>
          <w:p>
            <w:pPr>
              <w:ind w:right="42" w:rightChars="2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1、投标人近三年(2020-2022年度)的平均资产负债率（负债总额/资产总额*100%）情况：</w:t>
            </w:r>
          </w:p>
          <w:p>
            <w:pPr>
              <w:ind w:right="42" w:rightChars="2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①近三年平均资产负债率≤50%的，得3分；</w:t>
            </w:r>
          </w:p>
          <w:p>
            <w:pPr>
              <w:ind w:right="42" w:rightChars="2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②50%＜近三年平均资产负债率≤60%的，得2分；</w:t>
            </w:r>
          </w:p>
          <w:p>
            <w:pPr>
              <w:ind w:right="42" w:rightChars="2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③60%＜近三年平均资产负债率≤70%的，得1分；</w:t>
            </w:r>
          </w:p>
          <w:p>
            <w:pPr>
              <w:ind w:right="42" w:rightChars="2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④近三年平均资产负债率＞70%的，不得分。</w:t>
            </w:r>
          </w:p>
          <w:p>
            <w:pPr>
              <w:ind w:right="42" w:rightChars="2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注：须提供2020、2021、2022年具备相关财务审计资质的会计师事务所或审计事务所出具的企业财务审计报告（要求：审计报告由第三方会计师事务所或其它合法审计机构出具，须包含会计师事务所或审计机构的盖章页）及财务报表扫描件作为证明材料，成立不足三年的提交自成立以来经审计的年度财务报表，不提供不得分。</w:t>
            </w:r>
          </w:p>
          <w:p>
            <w:pPr>
              <w:ind w:right="42" w:rightChars="2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2、投标人获得过国家相关税务部门评定的2022年度“纳税信用A级纳税人”称号的，得2分。</w:t>
            </w:r>
          </w:p>
          <w:p>
            <w:pPr>
              <w:ind w:right="42" w:rightChars="2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注：“纳税信用A级”只计算投标人自身，以国家税务总局网站（http://www.chinatax.gov.cn/）“纳税信用A级纳税人名单公布栏”查询记录为准，投标人须提供国家税务总局查询网页（http://www.chinatax.gov.cn/）信息截图。不符合条件或无提交上述证明材料或未加盖投标人公章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84" w:type="dxa"/>
            <w:vMerge w:val="restart"/>
            <w:vAlign w:val="center"/>
          </w:tcPr>
          <w:p>
            <w:pPr>
              <w:ind w:left="42" w:leftChars="20" w:right="42" w:rightChars="20"/>
              <w:jc w:val="center"/>
              <w:rPr>
                <w:rFonts w:ascii="仿宋_GB2312" w:hAnsi="仿宋_GB2312" w:eastAsia="仿宋_GB2312" w:cs="仿宋_GB2312"/>
                <w:color w:val="auto"/>
                <w:szCs w:val="21"/>
                <w:lang w:val="zh-CN"/>
              </w:rPr>
            </w:pPr>
            <w:r>
              <w:rPr>
                <w:rFonts w:hint="eastAsia" w:ascii="仿宋_GB2312" w:hAnsi="仿宋_GB2312" w:eastAsia="仿宋_GB2312" w:cs="仿宋_GB2312"/>
                <w:color w:val="auto"/>
                <w:szCs w:val="21"/>
              </w:rPr>
              <w:t>4.4.7</w:t>
            </w:r>
          </w:p>
        </w:tc>
        <w:tc>
          <w:tcPr>
            <w:tcW w:w="726" w:type="dxa"/>
            <w:vMerge w:val="restart"/>
            <w:vAlign w:val="center"/>
          </w:tcPr>
          <w:p>
            <w:pPr>
              <w:ind w:left="42" w:leftChars="20" w:right="42" w:rightChars="2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其他因素</w:t>
            </w:r>
          </w:p>
        </w:tc>
        <w:tc>
          <w:tcPr>
            <w:tcW w:w="1175" w:type="dxa"/>
            <w:vAlign w:val="center"/>
          </w:tcPr>
          <w:p>
            <w:pPr>
              <w:ind w:left="42" w:leftChars="20" w:right="42" w:rightChars="20"/>
              <w:jc w:val="center"/>
              <w:rPr>
                <w:rFonts w:ascii="仿宋_GB2312" w:hAnsi="仿宋_GB2312" w:eastAsia="仿宋_GB2312" w:cs="仿宋_GB2312"/>
                <w:color w:val="auto"/>
                <w:szCs w:val="21"/>
                <w:lang w:val="zh-CN"/>
              </w:rPr>
            </w:pPr>
            <w:r>
              <w:rPr>
                <w:rFonts w:hint="eastAsia" w:ascii="仿宋_GB2312" w:hAnsi="仿宋_GB2312" w:eastAsia="仿宋_GB2312" w:cs="仿宋_GB2312"/>
                <w:color w:val="auto"/>
                <w:szCs w:val="21"/>
              </w:rPr>
              <w:t>业绩</w:t>
            </w:r>
          </w:p>
        </w:tc>
        <w:tc>
          <w:tcPr>
            <w:tcW w:w="1161" w:type="dxa"/>
            <w:vAlign w:val="center"/>
          </w:tcPr>
          <w:p>
            <w:pPr>
              <w:ind w:right="42" w:rightChars="20" w:firstLine="210" w:firstLineChars="100"/>
              <w:rPr>
                <w:rFonts w:ascii="仿宋_GB2312" w:hAnsi="仿宋_GB2312" w:eastAsia="仿宋_GB2312" w:cs="仿宋_GB2312"/>
                <w:color w:val="auto"/>
                <w:szCs w:val="21"/>
                <w:lang w:val="zh-CN"/>
              </w:rPr>
            </w:pP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lang w:val="en-US" w:eastAsia="zh-CN"/>
              </w:rPr>
              <w:t>10</w:t>
            </w:r>
            <w:r>
              <w:rPr>
                <w:rFonts w:hint="eastAsia" w:ascii="仿宋_GB2312" w:hAnsi="仿宋_GB2312" w:eastAsia="仿宋_GB2312" w:cs="仿宋_GB2312"/>
                <w:color w:val="auto"/>
                <w:szCs w:val="21"/>
                <w:u w:val="single"/>
              </w:rPr>
              <w:t xml:space="preserve"> 分</w:t>
            </w:r>
          </w:p>
        </w:tc>
        <w:tc>
          <w:tcPr>
            <w:tcW w:w="5364" w:type="dxa"/>
            <w:gridSpan w:val="3"/>
            <w:vAlign w:val="center"/>
          </w:tcPr>
          <w:p>
            <w:pPr>
              <w:ind w:left="42" w:leftChars="20" w:right="42" w:rightChars="20"/>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除资格要求的业绩外：</w:t>
            </w:r>
          </w:p>
          <w:p>
            <w:pPr>
              <w:ind w:left="42" w:leftChars="20" w:right="42" w:rightChars="2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2020年6月1日至投标截止之日,供应商已经完成的人力资源管理咨询服务项目业绩，每提供一项得1分，最高得</w:t>
            </w:r>
            <w:r>
              <w:rPr>
                <w:rFonts w:hint="eastAsia" w:ascii="仿宋_GB2312" w:hAnsi="仿宋_GB2312" w:eastAsia="仿宋_GB2312" w:cs="仿宋_GB2312"/>
                <w:color w:val="auto"/>
                <w:szCs w:val="21"/>
                <w:lang w:val="en-US" w:eastAsia="zh-CN"/>
              </w:rPr>
              <w:t>10</w:t>
            </w:r>
            <w:r>
              <w:rPr>
                <w:rFonts w:hint="eastAsia" w:ascii="仿宋_GB2312" w:hAnsi="仿宋_GB2312" w:eastAsia="仿宋_GB2312" w:cs="仿宋_GB2312"/>
                <w:color w:val="auto"/>
                <w:szCs w:val="21"/>
              </w:rPr>
              <w:t>分。</w:t>
            </w:r>
          </w:p>
          <w:p>
            <w:pPr>
              <w:ind w:left="42" w:leftChars="20" w:right="42" w:rightChars="2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注：不计算以联合体名义完成的业绩，以合同签订时间为准，提供合同书关键页（须包含但不限于合同名称</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服务</w:t>
            </w:r>
            <w:r>
              <w:rPr>
                <w:rFonts w:hint="eastAsia" w:ascii="仿宋_GB2312" w:hAnsi="仿宋_GB2312" w:eastAsia="仿宋_GB2312" w:cs="仿宋_GB2312"/>
                <w:color w:val="auto"/>
                <w:szCs w:val="21"/>
              </w:rPr>
              <w:t>范围、合同金额、合同签订日期以及甲乙双方盖章页）复印件和</w:t>
            </w:r>
            <w:r>
              <w:rPr>
                <w:rFonts w:hint="eastAsia" w:ascii="仿宋_GB2312" w:hAnsi="仿宋_GB2312" w:eastAsia="仿宋_GB2312" w:cs="仿宋_GB2312"/>
                <w:color w:val="auto"/>
                <w:szCs w:val="21"/>
                <w:lang w:val="en-US" w:eastAsia="zh-CN"/>
              </w:rPr>
              <w:t>成果验收</w:t>
            </w:r>
            <w:r>
              <w:rPr>
                <w:rFonts w:hint="eastAsia" w:ascii="仿宋_GB2312" w:hAnsi="仿宋_GB2312" w:eastAsia="仿宋_GB2312" w:cs="仿宋_GB2312"/>
                <w:color w:val="auto"/>
                <w:szCs w:val="21"/>
              </w:rPr>
              <w:t>证明资料复印件，以上资料须加盖供应商公章，未按要求提供不得分。）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84" w:type="dxa"/>
            <w:vMerge w:val="continue"/>
            <w:vAlign w:val="center"/>
          </w:tcPr>
          <w:p>
            <w:pPr>
              <w:ind w:left="42" w:leftChars="20" w:right="42" w:rightChars="20"/>
              <w:jc w:val="center"/>
              <w:rPr>
                <w:rFonts w:ascii="仿宋_GB2312" w:hAnsi="仿宋_GB2312" w:eastAsia="仿宋_GB2312" w:cs="仿宋_GB2312"/>
                <w:color w:val="auto"/>
                <w:szCs w:val="21"/>
              </w:rPr>
            </w:pPr>
          </w:p>
        </w:tc>
        <w:tc>
          <w:tcPr>
            <w:tcW w:w="726" w:type="dxa"/>
            <w:vMerge w:val="continue"/>
            <w:vAlign w:val="center"/>
          </w:tcPr>
          <w:p>
            <w:pPr>
              <w:ind w:left="42" w:leftChars="20" w:right="42" w:rightChars="20"/>
              <w:jc w:val="center"/>
              <w:rPr>
                <w:rFonts w:ascii="仿宋_GB2312" w:hAnsi="仿宋_GB2312" w:eastAsia="仿宋_GB2312" w:cs="仿宋_GB2312"/>
                <w:color w:val="auto"/>
                <w:szCs w:val="21"/>
              </w:rPr>
            </w:pPr>
          </w:p>
        </w:tc>
        <w:tc>
          <w:tcPr>
            <w:tcW w:w="1175" w:type="dxa"/>
            <w:vAlign w:val="center"/>
          </w:tcPr>
          <w:p>
            <w:pPr>
              <w:ind w:left="42" w:leftChars="20" w:right="42" w:rightChars="2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体系认证</w:t>
            </w:r>
          </w:p>
        </w:tc>
        <w:tc>
          <w:tcPr>
            <w:tcW w:w="1161" w:type="dxa"/>
            <w:vAlign w:val="center"/>
          </w:tcPr>
          <w:p>
            <w:pPr>
              <w:ind w:right="42" w:rightChars="20" w:firstLine="210" w:firstLineChars="100"/>
              <w:rPr>
                <w:rFonts w:ascii="仿宋_GB2312" w:hAnsi="仿宋_GB2312" w:eastAsia="仿宋_GB2312" w:cs="仿宋_GB2312"/>
                <w:color w:val="auto"/>
                <w:szCs w:val="21"/>
                <w:u w:val="single"/>
              </w:rPr>
            </w:pP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lang w:val="en-US" w:eastAsia="zh-CN"/>
              </w:rPr>
              <w:t>3</w:t>
            </w:r>
            <w:r>
              <w:rPr>
                <w:rFonts w:hint="eastAsia" w:ascii="仿宋_GB2312" w:hAnsi="仿宋_GB2312" w:eastAsia="仿宋_GB2312" w:cs="仿宋_GB2312"/>
                <w:color w:val="auto"/>
                <w:szCs w:val="21"/>
                <w:u w:val="single"/>
              </w:rPr>
              <w:t xml:space="preserve"> 分</w:t>
            </w:r>
          </w:p>
        </w:tc>
        <w:tc>
          <w:tcPr>
            <w:tcW w:w="5364" w:type="dxa"/>
            <w:gridSpan w:val="3"/>
            <w:vAlign w:val="center"/>
          </w:tcPr>
          <w:p>
            <w:pPr>
              <w:ind w:left="42" w:leftChars="20" w:right="42" w:rightChars="20"/>
              <w:rPr>
                <w:rFonts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具有</w:t>
            </w:r>
            <w:r>
              <w:rPr>
                <w:rFonts w:hint="eastAsia" w:ascii="仿宋_GB2312" w:hAnsi="仿宋_GB2312" w:eastAsia="仿宋_GB2312" w:cs="仿宋_GB2312"/>
                <w:color w:val="auto"/>
                <w:szCs w:val="21"/>
              </w:rPr>
              <w:t>有效的质量管理体系认证证书的、环境管理体系认证证书、职业健康安全管理体系认证证书的得</w:t>
            </w:r>
            <w:r>
              <w:rPr>
                <w:rFonts w:hint="eastAsia" w:ascii="仿宋_GB2312" w:hAnsi="仿宋_GB2312" w:eastAsia="仿宋_GB2312" w:cs="仿宋_GB2312"/>
                <w:color w:val="auto"/>
                <w:szCs w:val="21"/>
                <w:lang w:val="en-US" w:eastAsia="zh-CN"/>
              </w:rPr>
              <w:t>3</w:t>
            </w:r>
            <w:r>
              <w:rPr>
                <w:rFonts w:hint="eastAsia" w:ascii="仿宋_GB2312" w:hAnsi="仿宋_GB2312" w:eastAsia="仿宋_GB2312" w:cs="仿宋_GB2312"/>
                <w:color w:val="auto"/>
                <w:szCs w:val="21"/>
              </w:rPr>
              <w:t>分，每缺一项证书</w:t>
            </w:r>
            <w:r>
              <w:rPr>
                <w:rFonts w:hint="eastAsia" w:ascii="仿宋_GB2312" w:hAnsi="仿宋_GB2312" w:eastAsia="仿宋_GB2312" w:cs="仿宋_GB2312"/>
                <w:color w:val="auto"/>
                <w:szCs w:val="21"/>
                <w:lang w:val="en-US" w:eastAsia="zh-CN"/>
              </w:rPr>
              <w:t>扣1</w:t>
            </w:r>
            <w:r>
              <w:rPr>
                <w:rFonts w:hint="eastAsia" w:ascii="仿宋_GB2312" w:hAnsi="仿宋_GB2312" w:eastAsia="仿宋_GB2312" w:cs="仿宋_GB2312"/>
                <w:color w:val="auto"/>
                <w:szCs w:val="21"/>
              </w:rPr>
              <w:t xml:space="preserve">分。 </w:t>
            </w:r>
          </w:p>
          <w:p>
            <w:pPr>
              <w:ind w:left="42" w:leftChars="20" w:right="42" w:rightChars="2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注：须提供有效的证书复印件或国家认证认可监督管理委员会网（www.cnca.gov.cn）证书查询截图，并加盖供应商公章，未按要求提供不得分。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84" w:type="dxa"/>
            <w:vMerge w:val="continue"/>
            <w:vAlign w:val="center"/>
          </w:tcPr>
          <w:p>
            <w:pPr>
              <w:ind w:left="42" w:leftChars="20" w:right="42" w:rightChars="20"/>
              <w:jc w:val="center"/>
              <w:rPr>
                <w:rFonts w:ascii="仿宋_GB2312" w:hAnsi="仿宋_GB2312" w:eastAsia="仿宋_GB2312" w:cs="仿宋_GB2312"/>
                <w:color w:val="auto"/>
                <w:szCs w:val="21"/>
              </w:rPr>
            </w:pPr>
          </w:p>
        </w:tc>
        <w:tc>
          <w:tcPr>
            <w:tcW w:w="726" w:type="dxa"/>
            <w:vMerge w:val="continue"/>
            <w:vAlign w:val="center"/>
          </w:tcPr>
          <w:p>
            <w:pPr>
              <w:ind w:left="42" w:leftChars="20" w:right="42" w:rightChars="20"/>
              <w:jc w:val="center"/>
              <w:rPr>
                <w:rFonts w:ascii="仿宋_GB2312" w:hAnsi="仿宋_GB2312" w:eastAsia="仿宋_GB2312" w:cs="仿宋_GB2312"/>
                <w:color w:val="auto"/>
                <w:szCs w:val="21"/>
              </w:rPr>
            </w:pPr>
          </w:p>
        </w:tc>
        <w:tc>
          <w:tcPr>
            <w:tcW w:w="1175" w:type="dxa"/>
            <w:vAlign w:val="center"/>
          </w:tcPr>
          <w:p>
            <w:pPr>
              <w:ind w:left="42" w:leftChars="20" w:right="42" w:rightChars="20"/>
              <w:jc w:val="center"/>
              <w:rPr>
                <w:rFonts w:hint="default" w:ascii="仿宋_GB2312" w:hAnsi="仿宋_GB2312" w:eastAsia="仿宋_GB2312" w:cs="仿宋_GB2312"/>
                <w:color w:val="auto"/>
                <w:szCs w:val="21"/>
                <w:highlight w:val="none"/>
                <w:lang w:val="en-US"/>
              </w:rPr>
            </w:pPr>
            <w:r>
              <w:rPr>
                <w:rFonts w:hint="eastAsia" w:ascii="仿宋_GB2312" w:hAnsi="仿宋_GB2312" w:eastAsia="仿宋_GB2312" w:cs="仿宋_GB2312"/>
                <w:color w:val="auto"/>
                <w:szCs w:val="21"/>
                <w:highlight w:val="none"/>
                <w:lang w:val="en-US" w:eastAsia="zh-CN"/>
              </w:rPr>
              <w:t>项目负责人</w:t>
            </w:r>
          </w:p>
        </w:tc>
        <w:tc>
          <w:tcPr>
            <w:tcW w:w="1161" w:type="dxa"/>
            <w:vAlign w:val="center"/>
          </w:tcPr>
          <w:p>
            <w:pPr>
              <w:ind w:right="42" w:rightChars="20" w:firstLine="210" w:firstLineChars="100"/>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u w:val="single"/>
                <w:lang w:val="en-US" w:eastAsia="zh-CN"/>
              </w:rPr>
              <w:t>6</w:t>
            </w:r>
            <w:r>
              <w:rPr>
                <w:rFonts w:hint="eastAsia" w:ascii="仿宋_GB2312" w:hAnsi="仿宋_GB2312" w:eastAsia="仿宋_GB2312" w:cs="仿宋_GB2312"/>
                <w:color w:val="auto"/>
                <w:szCs w:val="21"/>
                <w:highlight w:val="none"/>
                <w:u w:val="single"/>
              </w:rPr>
              <w:t xml:space="preserve"> 分</w:t>
            </w:r>
          </w:p>
        </w:tc>
        <w:tc>
          <w:tcPr>
            <w:tcW w:w="5364" w:type="dxa"/>
            <w:gridSpan w:val="3"/>
            <w:vAlign w:val="center"/>
          </w:tcPr>
          <w:p>
            <w:pPr>
              <w:ind w:left="42" w:leftChars="20" w:right="42" w:rightChars="20"/>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拟派项目负责人（1人）：</w:t>
            </w:r>
          </w:p>
          <w:p>
            <w:pPr>
              <w:ind w:left="42" w:leftChars="20" w:right="42" w:rightChars="20"/>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具有硕士研究生学历证书的，得2分；具有本科学历证书的，得1分；本小项最高得2分。（本项不重复计分，只按最高学历计算。）</w:t>
            </w:r>
          </w:p>
          <w:p>
            <w:pPr>
              <w:ind w:left="42" w:leftChars="20" w:right="42" w:rightChars="20"/>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（2）具有1个已完成的人力资源咨询项目经验得1分，每增加一个项目加1分，本小项最高得4分。</w:t>
            </w:r>
          </w:p>
          <w:p>
            <w:pPr>
              <w:ind w:left="42" w:leftChars="20" w:right="42" w:rightChars="20"/>
              <w:rPr>
                <w:rFonts w:hint="default" w:ascii="仿宋_GB2312" w:hAnsi="仿宋_GB2312" w:eastAsia="仿宋_GB2312" w:cs="仿宋_GB2312"/>
                <w:color w:val="auto"/>
                <w:szCs w:val="21"/>
                <w:lang w:val="en-US"/>
              </w:rPr>
            </w:pPr>
            <w:r>
              <w:rPr>
                <w:rFonts w:hint="eastAsia" w:ascii="仿宋_GB2312" w:hAnsi="仿宋_GB2312" w:eastAsia="仿宋_GB2312" w:cs="仿宋_GB2312"/>
                <w:color w:val="auto"/>
                <w:szCs w:val="21"/>
                <w:lang w:val="en-US" w:eastAsia="zh-CN"/>
              </w:rPr>
              <w:t>注：需提供项目负责人近三个月（开标当月出外）社保证明材料，项目负责人经验证明材料（资格条件要求的业绩除外）包括项目合同，合同签订日期为2020年1月1日至今，合同内容能证明由该项目负责人负责的人力资源咨询项目。以上材料需加盖投标人公章。不按要求提交或者不能证明的本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84" w:type="dxa"/>
            <w:vMerge w:val="continue"/>
            <w:vAlign w:val="center"/>
          </w:tcPr>
          <w:p>
            <w:pPr>
              <w:ind w:left="42" w:leftChars="20" w:right="42" w:rightChars="20"/>
              <w:jc w:val="center"/>
              <w:rPr>
                <w:rFonts w:ascii="仿宋_GB2312" w:hAnsi="仿宋_GB2312" w:eastAsia="仿宋_GB2312" w:cs="仿宋_GB2312"/>
                <w:color w:val="auto"/>
                <w:szCs w:val="21"/>
              </w:rPr>
            </w:pPr>
          </w:p>
        </w:tc>
        <w:tc>
          <w:tcPr>
            <w:tcW w:w="726" w:type="dxa"/>
            <w:vMerge w:val="continue"/>
            <w:vAlign w:val="center"/>
          </w:tcPr>
          <w:p>
            <w:pPr>
              <w:ind w:left="42" w:leftChars="20" w:right="42" w:rightChars="20"/>
              <w:jc w:val="center"/>
              <w:rPr>
                <w:rFonts w:ascii="仿宋_GB2312" w:hAnsi="仿宋_GB2312" w:eastAsia="仿宋_GB2312" w:cs="仿宋_GB2312"/>
                <w:color w:val="auto"/>
                <w:szCs w:val="21"/>
              </w:rPr>
            </w:pPr>
          </w:p>
        </w:tc>
        <w:tc>
          <w:tcPr>
            <w:tcW w:w="1175" w:type="dxa"/>
            <w:vAlign w:val="center"/>
          </w:tcPr>
          <w:p>
            <w:pPr>
              <w:ind w:left="42" w:leftChars="20" w:right="42" w:rightChars="20"/>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项目团队</w:t>
            </w:r>
          </w:p>
        </w:tc>
        <w:tc>
          <w:tcPr>
            <w:tcW w:w="1161" w:type="dxa"/>
            <w:vAlign w:val="center"/>
          </w:tcPr>
          <w:p>
            <w:pPr>
              <w:ind w:right="42" w:rightChars="20" w:firstLine="210" w:firstLineChars="100"/>
              <w:rPr>
                <w:rFonts w:hint="default" w:ascii="仿宋_GB2312" w:hAnsi="仿宋_GB2312" w:eastAsia="仿宋_GB2312" w:cs="仿宋_GB2312"/>
                <w:color w:val="auto"/>
                <w:szCs w:val="21"/>
                <w:u w:val="single"/>
                <w:lang w:val="en-US" w:eastAsia="zh-CN"/>
              </w:rPr>
            </w:pP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lang w:val="en-US" w:eastAsia="zh-CN"/>
              </w:rPr>
              <w:t>6</w:t>
            </w:r>
            <w:r>
              <w:rPr>
                <w:rFonts w:hint="eastAsia" w:ascii="仿宋_GB2312" w:hAnsi="仿宋_GB2312" w:eastAsia="仿宋_GB2312" w:cs="仿宋_GB2312"/>
                <w:color w:val="auto"/>
                <w:szCs w:val="21"/>
                <w:u w:val="single"/>
              </w:rPr>
              <w:t xml:space="preserve"> 分</w:t>
            </w:r>
          </w:p>
        </w:tc>
        <w:tc>
          <w:tcPr>
            <w:tcW w:w="5364" w:type="dxa"/>
            <w:gridSpan w:val="3"/>
            <w:vAlign w:val="center"/>
          </w:tcPr>
          <w:p>
            <w:pPr>
              <w:ind w:left="42" w:leftChars="20" w:right="42" w:rightChars="20"/>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拟派项目团队（含1名项目经理及1名项目成员）：</w:t>
            </w:r>
          </w:p>
          <w:p>
            <w:pPr>
              <w:ind w:left="42" w:leftChars="20" w:right="42" w:rightChars="20"/>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（1）具有硕士学历每提供1人得2分 ；具有本科学历的每提供1人1分；本小项最高4分；（同一人具有多项职称/学历的只按最高得分档次计算一次）。</w:t>
            </w:r>
          </w:p>
          <w:p>
            <w:pPr>
              <w:ind w:left="42" w:leftChars="20" w:right="42" w:rightChars="20"/>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（2）项目团队具有1个已完成的人力资源咨询项目经验得1分，每增加一个项目加1分，本小项最高得2分。</w:t>
            </w:r>
          </w:p>
          <w:p>
            <w:pPr>
              <w:ind w:left="42" w:leftChars="20" w:right="42" w:rightChars="20"/>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注：需提供项目团队近三个月（开标当月出外）社保证明材料，项目负责人经验证明材料（资格条件要求的业绩除外）包括项目合同，合同签订日期为2020年1月1日至今，合同内容能证明由该项目团队成员负责的人力资源咨询项目。以上材料需加盖投标人公章。不按要求提交或者不能证明的本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vAlign w:val="center"/>
          </w:tcPr>
          <w:p>
            <w:pPr>
              <w:ind w:left="42" w:leftChars="20" w:right="42" w:rightChars="2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4.4.8</w:t>
            </w:r>
          </w:p>
        </w:tc>
        <w:tc>
          <w:tcPr>
            <w:tcW w:w="1901" w:type="dxa"/>
            <w:gridSpan w:val="2"/>
            <w:vAlign w:val="center"/>
          </w:tcPr>
          <w:p>
            <w:pPr>
              <w:ind w:left="42" w:leftChars="20" w:right="42" w:rightChars="2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评标价</w:t>
            </w:r>
          </w:p>
        </w:tc>
        <w:tc>
          <w:tcPr>
            <w:tcW w:w="1161" w:type="dxa"/>
            <w:vAlign w:val="center"/>
          </w:tcPr>
          <w:p>
            <w:pPr>
              <w:ind w:left="42" w:leftChars="20" w:right="42" w:rightChars="20" w:firstLine="210" w:firstLineChars="1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u w:val="single"/>
                <w:lang w:val="en-US" w:eastAsia="zh-CN"/>
              </w:rPr>
              <w:t>30</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分</w:t>
            </w:r>
          </w:p>
        </w:tc>
        <w:tc>
          <w:tcPr>
            <w:tcW w:w="5364" w:type="dxa"/>
            <w:gridSpan w:val="3"/>
          </w:tcPr>
          <w:p>
            <w:pPr>
              <w:ind w:left="42" w:leftChars="20" w:right="42" w:rightChars="20"/>
              <w:rPr>
                <w:rFonts w:ascii="仿宋_GB2312" w:hAnsi="仿宋_GB2312" w:eastAsia="仿宋_GB2312" w:cs="仿宋_GB2312"/>
                <w:b/>
                <w:bCs/>
                <w:color w:val="auto"/>
                <w:szCs w:val="21"/>
                <w:highlight w:val="none"/>
              </w:rPr>
            </w:pPr>
            <w:r>
              <w:rPr>
                <w:rFonts w:hint="eastAsia" w:ascii="仿宋_GB2312" w:hAnsi="仿宋_GB2312" w:eastAsia="仿宋_GB2312" w:cs="仿宋_GB2312"/>
                <w:color w:val="auto"/>
                <w:szCs w:val="21"/>
                <w:highlight w:val="none"/>
              </w:rPr>
              <w:t>评标价得分计算公式示例：</w:t>
            </w:r>
          </w:p>
          <w:p>
            <w:pPr>
              <w:ind w:left="42" w:leftChars="20" w:right="42" w:rightChars="2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(1)如果投标人的评标价&gt;评标基准价，则评标价得分＝F－偏差率×100× D1；D1取 1.5 ；</w:t>
            </w:r>
          </w:p>
          <w:p>
            <w:pPr>
              <w:ind w:left="42" w:leftChars="20" w:right="42" w:rightChars="2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(2)如果投标人的评标价≤评标基准价，则评标价得分＝F＋偏差率× 100×D2；D2＝0.5。</w:t>
            </w:r>
          </w:p>
          <w:p>
            <w:pPr>
              <w:ind w:left="42" w:leftChars="20" w:right="42" w:rightChars="2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其中：一般原则上D1是D2的3倍。</w:t>
            </w:r>
          </w:p>
          <w:p>
            <w:pPr>
              <w:ind w:left="42" w:leftChars="20" w:right="42" w:rightChars="2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注：评标价得分四舍五入至小数点后四位。</w:t>
            </w:r>
          </w:p>
        </w:tc>
      </w:tr>
    </w:tbl>
    <w:p>
      <w:pPr>
        <w:adjustRightInd w:val="0"/>
        <w:snapToGrid w:val="0"/>
        <w:spacing w:line="360" w:lineRule="auto"/>
        <w:rPr>
          <w:rFonts w:ascii="仿宋_GB2312" w:hAnsi="仿宋_GB2312" w:eastAsia="仿宋_GB2312" w:cs="仿宋_GB2312"/>
          <w:bCs/>
          <w:color w:val="auto"/>
          <w:szCs w:val="21"/>
        </w:rPr>
      </w:pPr>
      <w:r>
        <w:rPr>
          <w:rFonts w:hint="eastAsia" w:ascii="仿宋_GB2312" w:hAnsi="仿宋_GB2312" w:eastAsia="仿宋_GB2312" w:cs="仿宋_GB2312"/>
          <w:bCs/>
          <w:color w:val="auto"/>
          <w:szCs w:val="21"/>
        </w:rPr>
        <w:t>注：投标人的商务技术分得分为按本表“各评分因素细分项”各评审专家评分合计的算术平均值，保留至小数点后两位，第三位四舍五入。</w:t>
      </w:r>
    </w:p>
    <w:p>
      <w:pPr>
        <w:pStyle w:val="25"/>
        <w:ind w:left="0" w:leftChars="0" w:firstLine="0" w:firstLineChars="0"/>
        <w:rPr>
          <w:color w:val="auto"/>
        </w:rPr>
      </w:pPr>
    </w:p>
    <w:p>
      <w:pPr>
        <w:adjustRightInd w:val="0"/>
        <w:snapToGrid w:val="0"/>
        <w:spacing w:line="360" w:lineRule="auto"/>
        <w:ind w:firstLine="422" w:firstLineChars="200"/>
        <w:rPr>
          <w:rFonts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5、废标</w:t>
      </w:r>
    </w:p>
    <w:p>
      <w:pPr>
        <w:adjustRightInd w:val="0"/>
        <w:snapToGrid w:val="0"/>
        <w:spacing w:line="360" w:lineRule="auto"/>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详见投标人须知第25条。</w:t>
      </w:r>
    </w:p>
    <w:p>
      <w:pPr>
        <w:adjustRightInd w:val="0"/>
        <w:snapToGrid w:val="0"/>
        <w:spacing w:line="360" w:lineRule="auto"/>
        <w:ind w:firstLine="422" w:firstLineChars="200"/>
        <w:rPr>
          <w:rFonts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6、推荐中标候选人的原则</w:t>
      </w:r>
    </w:p>
    <w:p>
      <w:pPr>
        <w:adjustRightInd w:val="0"/>
        <w:snapToGrid w:val="0"/>
        <w:spacing w:line="360" w:lineRule="auto"/>
        <w:ind w:firstLine="420" w:firstLineChars="200"/>
        <w:rPr>
          <w:rFonts w:ascii="仿宋_GB2312" w:hAnsi="仿宋_GB2312" w:eastAsia="仿宋_GB2312" w:cs="仿宋_GB2312"/>
          <w:b/>
          <w:color w:val="auto"/>
          <w:szCs w:val="21"/>
        </w:rPr>
      </w:pPr>
      <w:r>
        <w:rPr>
          <w:rFonts w:hint="eastAsia" w:ascii="仿宋_GB2312" w:hAnsi="仿宋_GB2312" w:eastAsia="仿宋_GB2312" w:cs="仿宋_GB2312"/>
          <w:bCs/>
          <w:color w:val="auto"/>
          <w:szCs w:val="21"/>
        </w:rPr>
        <w:t>详见第一章投标人须知第26条。</w:t>
      </w:r>
    </w:p>
    <w:p>
      <w:pPr>
        <w:adjustRightInd w:val="0"/>
        <w:snapToGrid w:val="0"/>
        <w:spacing w:line="360" w:lineRule="auto"/>
        <w:ind w:firstLine="422" w:firstLineChars="200"/>
        <w:rPr>
          <w:rFonts w:ascii="仿宋_GB2312" w:hAnsi="仿宋_GB2312" w:eastAsia="仿宋_GB2312" w:cs="仿宋_GB2312"/>
          <w:b/>
          <w:color w:val="auto"/>
          <w:kern w:val="0"/>
          <w:szCs w:val="21"/>
        </w:rPr>
      </w:pPr>
      <w:r>
        <w:rPr>
          <w:rFonts w:hint="eastAsia" w:ascii="仿宋_GB2312" w:hAnsi="仿宋_GB2312" w:eastAsia="仿宋_GB2312" w:cs="仿宋_GB2312"/>
          <w:b/>
          <w:color w:val="auto"/>
          <w:szCs w:val="21"/>
        </w:rPr>
        <w:t>三、</w:t>
      </w:r>
      <w:r>
        <w:rPr>
          <w:rFonts w:hint="eastAsia" w:ascii="仿宋_GB2312" w:hAnsi="仿宋_GB2312" w:eastAsia="仿宋_GB2312" w:cs="仿宋_GB2312"/>
          <w:b/>
          <w:color w:val="auto"/>
          <w:kern w:val="0"/>
          <w:szCs w:val="21"/>
        </w:rPr>
        <w:t>确定中标人</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评审小组根据全体评审小组成员签字的原始评审记录和评审结果编写评审报告，并向招标人提交书面评审报告。</w:t>
      </w:r>
    </w:p>
    <w:p>
      <w:pPr>
        <w:adjustRightInd w:val="0"/>
        <w:snapToGrid w:val="0"/>
        <w:spacing w:line="360" w:lineRule="auto"/>
        <w:ind w:firstLine="42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szCs w:val="21"/>
        </w:rPr>
        <w:t>招标人按照评审报告确定的中标候选人名单按顺序确定中标人，或由招标人委托评审小组按照第二章“投标人须知表”第30条中规定的方式确定中标人。</w:t>
      </w:r>
    </w:p>
    <w:p>
      <w:pPr>
        <w:pStyle w:val="3"/>
        <w:adjustRightInd w:val="0"/>
        <w:snapToGrid w:val="0"/>
        <w:spacing w:before="0" w:after="0" w:line="240" w:lineRule="auto"/>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br w:type="page"/>
      </w:r>
      <w:r>
        <w:rPr>
          <w:rFonts w:hint="eastAsia" w:ascii="仿宋_GB2312" w:hAnsi="仿宋_GB2312" w:eastAsia="仿宋_GB2312" w:cs="仿宋_GB2312"/>
          <w:color w:val="auto"/>
          <w:sz w:val="28"/>
          <w:szCs w:val="28"/>
        </w:rPr>
        <w:t xml:space="preserve">附件1               </w:t>
      </w:r>
    </w:p>
    <w:p>
      <w:pPr>
        <w:jc w:val="center"/>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资格审查表</w:t>
      </w:r>
    </w:p>
    <w:tbl>
      <w:tblPr>
        <w:tblStyle w:val="19"/>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340"/>
        <w:gridCol w:w="3318"/>
        <w:gridCol w:w="762"/>
        <w:gridCol w:w="762"/>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73" w:type="dxa"/>
            <w:vMerge w:val="restart"/>
            <w:vAlign w:val="center"/>
          </w:tcPr>
          <w:p>
            <w:pPr>
              <w:rPr>
                <w:rFonts w:ascii="仿宋_GB2312" w:hAnsi="仿宋_GB2312" w:eastAsia="仿宋_GB2312" w:cs="仿宋_GB2312"/>
                <w:color w:val="auto"/>
              </w:rPr>
            </w:pPr>
            <w:r>
              <w:rPr>
                <w:rFonts w:hint="eastAsia" w:ascii="仿宋_GB2312" w:hAnsi="仿宋_GB2312" w:eastAsia="仿宋_GB2312" w:cs="仿宋_GB2312"/>
                <w:color w:val="auto"/>
              </w:rPr>
              <w:t>序号</w:t>
            </w:r>
          </w:p>
        </w:tc>
        <w:tc>
          <w:tcPr>
            <w:tcW w:w="2340" w:type="dxa"/>
            <w:vMerge w:val="restart"/>
            <w:vAlign w:val="center"/>
          </w:tcPr>
          <w:p>
            <w:pPr>
              <w:pStyle w:val="3"/>
              <w:adjustRightInd w:val="0"/>
              <w:snapToGrid w:val="0"/>
              <w:spacing w:before="0" w:after="0" w:line="240" w:lineRule="auto"/>
              <w:jc w:val="center"/>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审查项目</w:t>
            </w:r>
          </w:p>
        </w:tc>
        <w:tc>
          <w:tcPr>
            <w:tcW w:w="3318" w:type="dxa"/>
            <w:vMerge w:val="restart"/>
            <w:vAlign w:val="center"/>
          </w:tcPr>
          <w:p>
            <w:pPr>
              <w:pStyle w:val="3"/>
              <w:adjustRightInd w:val="0"/>
              <w:snapToGrid w:val="0"/>
              <w:spacing w:before="0" w:after="0" w:line="240" w:lineRule="auto"/>
              <w:jc w:val="center"/>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审查标准</w:t>
            </w:r>
          </w:p>
        </w:tc>
        <w:tc>
          <w:tcPr>
            <w:tcW w:w="2287" w:type="dxa"/>
            <w:gridSpan w:val="3"/>
            <w:vAlign w:val="center"/>
          </w:tcPr>
          <w:p>
            <w:pPr>
              <w:pStyle w:val="3"/>
              <w:adjustRightInd w:val="0"/>
              <w:snapToGrid w:val="0"/>
              <w:spacing w:before="0" w:after="0" w:line="240" w:lineRule="auto"/>
              <w:jc w:val="center"/>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73" w:type="dxa"/>
            <w:vMerge w:val="continue"/>
            <w:vAlign w:val="center"/>
          </w:tcPr>
          <w:p>
            <w:pPr>
              <w:pStyle w:val="3"/>
              <w:adjustRightInd w:val="0"/>
              <w:snapToGrid w:val="0"/>
              <w:spacing w:before="0" w:after="0" w:line="240" w:lineRule="auto"/>
              <w:jc w:val="center"/>
              <w:rPr>
                <w:rFonts w:ascii="仿宋_GB2312" w:hAnsi="仿宋_GB2312" w:eastAsia="仿宋_GB2312" w:cs="仿宋_GB2312"/>
                <w:b w:val="0"/>
                <w:color w:val="auto"/>
                <w:sz w:val="21"/>
                <w:szCs w:val="21"/>
              </w:rPr>
            </w:pPr>
          </w:p>
        </w:tc>
        <w:tc>
          <w:tcPr>
            <w:tcW w:w="2340" w:type="dxa"/>
            <w:vMerge w:val="continue"/>
            <w:vAlign w:val="center"/>
          </w:tcPr>
          <w:p>
            <w:pPr>
              <w:pStyle w:val="3"/>
              <w:adjustRightInd w:val="0"/>
              <w:snapToGrid w:val="0"/>
              <w:spacing w:before="0" w:after="0" w:line="240" w:lineRule="auto"/>
              <w:jc w:val="center"/>
              <w:rPr>
                <w:rFonts w:ascii="仿宋_GB2312" w:hAnsi="仿宋_GB2312" w:eastAsia="仿宋_GB2312" w:cs="仿宋_GB2312"/>
                <w:b w:val="0"/>
                <w:color w:val="auto"/>
                <w:sz w:val="21"/>
                <w:szCs w:val="21"/>
              </w:rPr>
            </w:pPr>
          </w:p>
        </w:tc>
        <w:tc>
          <w:tcPr>
            <w:tcW w:w="3318" w:type="dxa"/>
            <w:vMerge w:val="continue"/>
            <w:vAlign w:val="center"/>
          </w:tcPr>
          <w:p>
            <w:pPr>
              <w:pStyle w:val="3"/>
              <w:adjustRightInd w:val="0"/>
              <w:snapToGrid w:val="0"/>
              <w:spacing w:before="0" w:after="0" w:line="240" w:lineRule="auto"/>
              <w:jc w:val="center"/>
              <w:rPr>
                <w:rFonts w:ascii="仿宋_GB2312" w:hAnsi="仿宋_GB2312" w:eastAsia="仿宋_GB2312" w:cs="仿宋_GB2312"/>
                <w:b w:val="0"/>
                <w:color w:val="auto"/>
                <w:sz w:val="21"/>
                <w:szCs w:val="21"/>
              </w:rPr>
            </w:pPr>
          </w:p>
        </w:tc>
        <w:tc>
          <w:tcPr>
            <w:tcW w:w="762" w:type="dxa"/>
            <w:vAlign w:val="center"/>
          </w:tcPr>
          <w:p>
            <w:pPr>
              <w:pStyle w:val="3"/>
              <w:adjustRightInd w:val="0"/>
              <w:snapToGrid w:val="0"/>
              <w:spacing w:before="0" w:after="0" w:line="240" w:lineRule="auto"/>
              <w:jc w:val="center"/>
              <w:rPr>
                <w:rFonts w:ascii="仿宋_GB2312" w:hAnsi="仿宋_GB2312" w:eastAsia="仿宋_GB2312" w:cs="仿宋_GB2312"/>
                <w:b w:val="0"/>
                <w:color w:val="auto"/>
                <w:sz w:val="21"/>
                <w:szCs w:val="21"/>
              </w:rPr>
            </w:pPr>
          </w:p>
        </w:tc>
        <w:tc>
          <w:tcPr>
            <w:tcW w:w="762" w:type="dxa"/>
            <w:vAlign w:val="center"/>
          </w:tcPr>
          <w:p>
            <w:pPr>
              <w:pStyle w:val="3"/>
              <w:adjustRightInd w:val="0"/>
              <w:snapToGrid w:val="0"/>
              <w:spacing w:before="0" w:after="0" w:line="240" w:lineRule="auto"/>
              <w:jc w:val="center"/>
              <w:rPr>
                <w:rFonts w:ascii="仿宋_GB2312" w:hAnsi="仿宋_GB2312" w:eastAsia="仿宋_GB2312" w:cs="仿宋_GB2312"/>
                <w:b w:val="0"/>
                <w:color w:val="auto"/>
                <w:sz w:val="21"/>
                <w:szCs w:val="21"/>
              </w:rPr>
            </w:pPr>
          </w:p>
        </w:tc>
        <w:tc>
          <w:tcPr>
            <w:tcW w:w="763" w:type="dxa"/>
            <w:vAlign w:val="center"/>
          </w:tcPr>
          <w:p>
            <w:pPr>
              <w:pStyle w:val="3"/>
              <w:adjustRightInd w:val="0"/>
              <w:snapToGrid w:val="0"/>
              <w:spacing w:before="0" w:after="0" w:line="240" w:lineRule="auto"/>
              <w:jc w:val="center"/>
              <w:rPr>
                <w:rFonts w:ascii="仿宋_GB2312" w:hAnsi="仿宋_GB2312" w:eastAsia="仿宋_GB2312" w:cs="仿宋_GB2312"/>
                <w:b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73" w:type="dxa"/>
            <w:vAlign w:val="center"/>
          </w:tcPr>
          <w:p>
            <w:pPr>
              <w:snapToGrid w:val="0"/>
              <w:jc w:val="center"/>
              <w:rPr>
                <w:rFonts w:ascii="仿宋_GB2312" w:hAnsi="仿宋_GB2312" w:eastAsia="仿宋_GB2312" w:cs="仿宋_GB2312"/>
                <w:color w:val="auto"/>
              </w:rPr>
            </w:pPr>
            <w:r>
              <w:rPr>
                <w:rFonts w:hint="eastAsia" w:ascii="仿宋_GB2312" w:hAnsi="仿宋_GB2312" w:eastAsia="仿宋_GB2312" w:cs="仿宋_GB2312"/>
                <w:color w:val="auto"/>
              </w:rPr>
              <w:t>1</w:t>
            </w:r>
          </w:p>
        </w:tc>
        <w:tc>
          <w:tcPr>
            <w:tcW w:w="2340" w:type="dxa"/>
            <w:vAlign w:val="center"/>
          </w:tcPr>
          <w:p>
            <w:pPr>
              <w:snapToGrid w:val="0"/>
              <w:jc w:val="left"/>
              <w:rPr>
                <w:rFonts w:ascii="仿宋_GB2312" w:hAnsi="仿宋_GB2312" w:eastAsia="仿宋_GB2312" w:cs="仿宋_GB2312"/>
                <w:color w:val="auto"/>
                <w:szCs w:val="21"/>
              </w:rPr>
            </w:pPr>
            <w:r>
              <w:rPr>
                <w:rFonts w:hint="eastAsia" w:ascii="仿宋_GB2312" w:hAnsi="仿宋_GB2312" w:eastAsia="仿宋_GB2312" w:cs="仿宋_GB2312"/>
                <w:color w:val="auto"/>
              </w:rPr>
              <w:t>投标人名称</w:t>
            </w:r>
          </w:p>
        </w:tc>
        <w:tc>
          <w:tcPr>
            <w:tcW w:w="3318" w:type="dxa"/>
            <w:vAlign w:val="center"/>
          </w:tcPr>
          <w:p>
            <w:pPr>
              <w:pStyle w:val="3"/>
              <w:adjustRightInd w:val="0"/>
              <w:snapToGrid w:val="0"/>
              <w:spacing w:before="0" w:after="0" w:line="240" w:lineRule="auto"/>
              <w:jc w:val="left"/>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与营业执照（事业单位法人证书）、资质证书等证明性证书一致</w:t>
            </w:r>
          </w:p>
        </w:tc>
        <w:tc>
          <w:tcPr>
            <w:tcW w:w="762" w:type="dxa"/>
            <w:vAlign w:val="center"/>
          </w:tcPr>
          <w:p>
            <w:pPr>
              <w:pStyle w:val="3"/>
              <w:adjustRightInd w:val="0"/>
              <w:snapToGrid w:val="0"/>
              <w:spacing w:before="0" w:after="0" w:line="240" w:lineRule="auto"/>
              <w:jc w:val="center"/>
              <w:rPr>
                <w:rFonts w:ascii="仿宋_GB2312" w:hAnsi="仿宋_GB2312" w:eastAsia="仿宋_GB2312" w:cs="仿宋_GB2312"/>
                <w:b w:val="0"/>
                <w:color w:val="auto"/>
                <w:sz w:val="21"/>
                <w:szCs w:val="21"/>
              </w:rPr>
            </w:pPr>
          </w:p>
        </w:tc>
        <w:tc>
          <w:tcPr>
            <w:tcW w:w="762" w:type="dxa"/>
            <w:vAlign w:val="center"/>
          </w:tcPr>
          <w:p>
            <w:pPr>
              <w:pStyle w:val="3"/>
              <w:adjustRightInd w:val="0"/>
              <w:snapToGrid w:val="0"/>
              <w:spacing w:before="0" w:after="0" w:line="240" w:lineRule="auto"/>
              <w:jc w:val="center"/>
              <w:rPr>
                <w:rFonts w:ascii="仿宋_GB2312" w:hAnsi="仿宋_GB2312" w:eastAsia="仿宋_GB2312" w:cs="仿宋_GB2312"/>
                <w:b w:val="0"/>
                <w:color w:val="auto"/>
                <w:sz w:val="21"/>
                <w:szCs w:val="21"/>
              </w:rPr>
            </w:pPr>
          </w:p>
        </w:tc>
        <w:tc>
          <w:tcPr>
            <w:tcW w:w="763" w:type="dxa"/>
            <w:vAlign w:val="center"/>
          </w:tcPr>
          <w:p>
            <w:pPr>
              <w:pStyle w:val="3"/>
              <w:adjustRightInd w:val="0"/>
              <w:snapToGrid w:val="0"/>
              <w:spacing w:before="0" w:after="0" w:line="240" w:lineRule="auto"/>
              <w:jc w:val="center"/>
              <w:rPr>
                <w:rFonts w:ascii="仿宋_GB2312" w:hAnsi="仿宋_GB2312" w:eastAsia="仿宋_GB2312" w:cs="仿宋_GB2312"/>
                <w:b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3" w:type="dxa"/>
            <w:vAlign w:val="center"/>
          </w:tcPr>
          <w:p>
            <w:pPr>
              <w:widowControl/>
              <w:snapToGrid w:val="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w:t>
            </w:r>
          </w:p>
        </w:tc>
        <w:tc>
          <w:tcPr>
            <w:tcW w:w="2340" w:type="dxa"/>
            <w:vAlign w:val="center"/>
          </w:tcPr>
          <w:p>
            <w:pPr>
              <w:widowControl/>
              <w:snapToGrid w:val="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法定代表人身份证明书</w:t>
            </w:r>
          </w:p>
        </w:tc>
        <w:tc>
          <w:tcPr>
            <w:tcW w:w="3318" w:type="dxa"/>
          </w:tcPr>
          <w:p>
            <w:pPr>
              <w:pStyle w:val="3"/>
              <w:adjustRightInd w:val="0"/>
              <w:snapToGrid w:val="0"/>
              <w:spacing w:before="0" w:after="0" w:line="240" w:lineRule="auto"/>
              <w:jc w:val="left"/>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按给定格式填写并按规定签章</w:t>
            </w:r>
          </w:p>
        </w:tc>
        <w:tc>
          <w:tcPr>
            <w:tcW w:w="762" w:type="dxa"/>
          </w:tcPr>
          <w:p>
            <w:pPr>
              <w:pStyle w:val="3"/>
              <w:adjustRightInd w:val="0"/>
              <w:snapToGrid w:val="0"/>
              <w:spacing w:before="0" w:after="0" w:line="240" w:lineRule="auto"/>
              <w:jc w:val="center"/>
              <w:rPr>
                <w:rFonts w:ascii="仿宋_GB2312" w:hAnsi="仿宋_GB2312" w:eastAsia="仿宋_GB2312" w:cs="仿宋_GB2312"/>
                <w:b w:val="0"/>
                <w:color w:val="auto"/>
                <w:sz w:val="21"/>
                <w:szCs w:val="21"/>
              </w:rPr>
            </w:pPr>
          </w:p>
        </w:tc>
        <w:tc>
          <w:tcPr>
            <w:tcW w:w="762" w:type="dxa"/>
          </w:tcPr>
          <w:p>
            <w:pPr>
              <w:pStyle w:val="3"/>
              <w:adjustRightInd w:val="0"/>
              <w:snapToGrid w:val="0"/>
              <w:spacing w:before="0" w:after="0" w:line="240" w:lineRule="auto"/>
              <w:jc w:val="center"/>
              <w:rPr>
                <w:rFonts w:ascii="仿宋_GB2312" w:hAnsi="仿宋_GB2312" w:eastAsia="仿宋_GB2312" w:cs="仿宋_GB2312"/>
                <w:b w:val="0"/>
                <w:color w:val="auto"/>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b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3" w:type="dxa"/>
            <w:vAlign w:val="center"/>
          </w:tcPr>
          <w:p>
            <w:pPr>
              <w:widowControl/>
              <w:snapToGrid w:val="0"/>
              <w:jc w:val="center"/>
              <w:rPr>
                <w:rFonts w:ascii="仿宋_GB2312" w:hAnsi="仿宋_GB2312" w:eastAsia="仿宋_GB2312" w:cs="仿宋_GB2312"/>
                <w:color w:val="auto"/>
              </w:rPr>
            </w:pPr>
            <w:r>
              <w:rPr>
                <w:rFonts w:hint="eastAsia" w:ascii="仿宋_GB2312" w:hAnsi="仿宋_GB2312" w:eastAsia="仿宋_GB2312" w:cs="仿宋_GB2312"/>
                <w:color w:val="auto"/>
              </w:rPr>
              <w:t>3</w:t>
            </w:r>
          </w:p>
        </w:tc>
        <w:tc>
          <w:tcPr>
            <w:tcW w:w="2340" w:type="dxa"/>
            <w:vAlign w:val="center"/>
          </w:tcPr>
          <w:p>
            <w:pPr>
              <w:widowControl/>
              <w:snapToGrid w:val="0"/>
              <w:jc w:val="left"/>
              <w:rPr>
                <w:rFonts w:ascii="仿宋_GB2312" w:hAnsi="仿宋_GB2312" w:eastAsia="仿宋_GB2312" w:cs="仿宋_GB2312"/>
                <w:color w:val="auto"/>
                <w:szCs w:val="21"/>
              </w:rPr>
            </w:pPr>
            <w:r>
              <w:rPr>
                <w:rFonts w:hint="eastAsia" w:ascii="仿宋_GB2312" w:hAnsi="仿宋_GB2312" w:eastAsia="仿宋_GB2312" w:cs="仿宋_GB2312"/>
                <w:color w:val="auto"/>
              </w:rPr>
              <w:t>法定代表人授权委托书</w:t>
            </w:r>
            <w:r>
              <w:rPr>
                <w:rFonts w:hint="eastAsia" w:ascii="仿宋_GB2312" w:hAnsi="仿宋_GB2312" w:eastAsia="仿宋_GB2312" w:cs="仿宋_GB2312"/>
                <w:color w:val="auto"/>
                <w:szCs w:val="21"/>
              </w:rPr>
              <w:t>（如适用）</w:t>
            </w:r>
          </w:p>
        </w:tc>
        <w:tc>
          <w:tcPr>
            <w:tcW w:w="3318" w:type="dxa"/>
          </w:tcPr>
          <w:p>
            <w:pPr>
              <w:pStyle w:val="3"/>
              <w:adjustRightInd w:val="0"/>
              <w:snapToGrid w:val="0"/>
              <w:spacing w:before="0" w:after="0" w:line="240" w:lineRule="auto"/>
              <w:jc w:val="left"/>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按给定格式填写并按规定签章</w:t>
            </w:r>
          </w:p>
        </w:tc>
        <w:tc>
          <w:tcPr>
            <w:tcW w:w="762" w:type="dxa"/>
          </w:tcPr>
          <w:p>
            <w:pPr>
              <w:pStyle w:val="3"/>
              <w:adjustRightInd w:val="0"/>
              <w:snapToGrid w:val="0"/>
              <w:spacing w:before="0" w:after="0" w:line="240" w:lineRule="auto"/>
              <w:jc w:val="center"/>
              <w:rPr>
                <w:rFonts w:ascii="仿宋_GB2312" w:hAnsi="仿宋_GB2312" w:eastAsia="仿宋_GB2312" w:cs="仿宋_GB2312"/>
                <w:b w:val="0"/>
                <w:color w:val="auto"/>
                <w:sz w:val="21"/>
                <w:szCs w:val="21"/>
              </w:rPr>
            </w:pPr>
          </w:p>
        </w:tc>
        <w:tc>
          <w:tcPr>
            <w:tcW w:w="762" w:type="dxa"/>
          </w:tcPr>
          <w:p>
            <w:pPr>
              <w:pStyle w:val="3"/>
              <w:adjustRightInd w:val="0"/>
              <w:snapToGrid w:val="0"/>
              <w:spacing w:before="0" w:after="0" w:line="240" w:lineRule="auto"/>
              <w:jc w:val="center"/>
              <w:rPr>
                <w:rFonts w:ascii="仿宋_GB2312" w:hAnsi="仿宋_GB2312" w:eastAsia="仿宋_GB2312" w:cs="仿宋_GB2312"/>
                <w:b w:val="0"/>
                <w:color w:val="auto"/>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b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3" w:type="dxa"/>
            <w:vAlign w:val="center"/>
          </w:tcPr>
          <w:p>
            <w:pPr>
              <w:widowControl/>
              <w:snapToGrid w:val="0"/>
              <w:jc w:val="center"/>
              <w:rPr>
                <w:rFonts w:ascii="仿宋_GB2312" w:hAnsi="仿宋_GB2312" w:eastAsia="仿宋_GB2312" w:cs="仿宋_GB2312"/>
                <w:color w:val="auto"/>
              </w:rPr>
            </w:pPr>
            <w:r>
              <w:rPr>
                <w:rFonts w:hint="eastAsia" w:ascii="仿宋_GB2312" w:hAnsi="仿宋_GB2312" w:eastAsia="仿宋_GB2312" w:cs="仿宋_GB2312"/>
                <w:color w:val="auto"/>
              </w:rPr>
              <w:t>4</w:t>
            </w:r>
          </w:p>
        </w:tc>
        <w:tc>
          <w:tcPr>
            <w:tcW w:w="2340" w:type="dxa"/>
            <w:vAlign w:val="center"/>
          </w:tcPr>
          <w:p>
            <w:pPr>
              <w:widowControl/>
              <w:snapToGrid w:val="0"/>
              <w:jc w:val="left"/>
              <w:rPr>
                <w:rFonts w:ascii="仿宋_GB2312" w:hAnsi="仿宋_GB2312" w:eastAsia="仿宋_GB2312" w:cs="仿宋_GB2312"/>
                <w:color w:val="auto"/>
              </w:rPr>
            </w:pPr>
            <w:r>
              <w:rPr>
                <w:rFonts w:hint="eastAsia" w:ascii="仿宋_GB2312" w:hAnsi="仿宋_GB2312" w:eastAsia="仿宋_GB2312" w:cs="仿宋_GB2312"/>
                <w:color w:val="auto"/>
              </w:rPr>
              <w:t>资格条件</w:t>
            </w:r>
          </w:p>
        </w:tc>
        <w:tc>
          <w:tcPr>
            <w:tcW w:w="3318" w:type="dxa"/>
          </w:tcPr>
          <w:p>
            <w:pPr>
              <w:pStyle w:val="3"/>
              <w:adjustRightInd w:val="0"/>
              <w:snapToGrid w:val="0"/>
              <w:spacing w:before="0" w:after="0" w:line="240" w:lineRule="auto"/>
              <w:jc w:val="left"/>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满足“投标人须知”1.2款的要求</w:t>
            </w:r>
          </w:p>
        </w:tc>
        <w:tc>
          <w:tcPr>
            <w:tcW w:w="762" w:type="dxa"/>
          </w:tcPr>
          <w:p>
            <w:pPr>
              <w:pStyle w:val="3"/>
              <w:adjustRightInd w:val="0"/>
              <w:snapToGrid w:val="0"/>
              <w:spacing w:before="0" w:after="0" w:line="240" w:lineRule="auto"/>
              <w:jc w:val="center"/>
              <w:rPr>
                <w:rFonts w:ascii="仿宋_GB2312" w:hAnsi="仿宋_GB2312" w:eastAsia="仿宋_GB2312" w:cs="仿宋_GB2312"/>
                <w:b w:val="0"/>
                <w:color w:val="auto"/>
                <w:sz w:val="21"/>
                <w:szCs w:val="21"/>
              </w:rPr>
            </w:pPr>
          </w:p>
        </w:tc>
        <w:tc>
          <w:tcPr>
            <w:tcW w:w="762" w:type="dxa"/>
          </w:tcPr>
          <w:p>
            <w:pPr>
              <w:pStyle w:val="3"/>
              <w:adjustRightInd w:val="0"/>
              <w:snapToGrid w:val="0"/>
              <w:spacing w:before="0" w:after="0" w:line="240" w:lineRule="auto"/>
              <w:jc w:val="center"/>
              <w:rPr>
                <w:rFonts w:ascii="仿宋_GB2312" w:hAnsi="仿宋_GB2312" w:eastAsia="仿宋_GB2312" w:cs="仿宋_GB2312"/>
                <w:b w:val="0"/>
                <w:color w:val="auto"/>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b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3" w:type="dxa"/>
            <w:vAlign w:val="center"/>
          </w:tcPr>
          <w:p>
            <w:pPr>
              <w:snapToGrid w:val="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5</w:t>
            </w:r>
          </w:p>
        </w:tc>
        <w:tc>
          <w:tcPr>
            <w:tcW w:w="2340" w:type="dxa"/>
            <w:vAlign w:val="center"/>
          </w:tcPr>
          <w:p>
            <w:pPr>
              <w:snapToGrid w:val="0"/>
              <w:jc w:val="left"/>
              <w:rPr>
                <w:rFonts w:ascii="仿宋_GB2312" w:hAnsi="仿宋_GB2312" w:eastAsia="仿宋_GB2312" w:cs="仿宋_GB2312"/>
                <w:color w:val="auto"/>
                <w:szCs w:val="21"/>
              </w:rPr>
            </w:pPr>
            <w:r>
              <w:rPr>
                <w:rFonts w:hint="eastAsia" w:ascii="仿宋_GB2312" w:hAnsi="仿宋_GB2312" w:eastAsia="仿宋_GB2312" w:cs="仿宋_GB2312"/>
                <w:color w:val="auto"/>
              </w:rPr>
              <w:t>联合体协议（如适用）</w:t>
            </w:r>
          </w:p>
        </w:tc>
        <w:tc>
          <w:tcPr>
            <w:tcW w:w="3318" w:type="dxa"/>
          </w:tcPr>
          <w:p>
            <w:pPr>
              <w:pStyle w:val="3"/>
              <w:adjustRightInd w:val="0"/>
              <w:snapToGrid w:val="0"/>
              <w:spacing w:before="0" w:after="0" w:line="240" w:lineRule="auto"/>
              <w:jc w:val="left"/>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满足“投标人须知”1.3款的要求</w:t>
            </w:r>
          </w:p>
        </w:tc>
        <w:tc>
          <w:tcPr>
            <w:tcW w:w="762" w:type="dxa"/>
          </w:tcPr>
          <w:p>
            <w:pPr>
              <w:pStyle w:val="3"/>
              <w:adjustRightInd w:val="0"/>
              <w:snapToGrid w:val="0"/>
              <w:spacing w:before="0" w:after="0" w:line="240" w:lineRule="auto"/>
              <w:jc w:val="center"/>
              <w:rPr>
                <w:rFonts w:ascii="仿宋_GB2312" w:hAnsi="仿宋_GB2312" w:eastAsia="仿宋_GB2312" w:cs="仿宋_GB2312"/>
                <w:b w:val="0"/>
                <w:color w:val="auto"/>
                <w:sz w:val="21"/>
                <w:szCs w:val="21"/>
              </w:rPr>
            </w:pPr>
          </w:p>
        </w:tc>
        <w:tc>
          <w:tcPr>
            <w:tcW w:w="762" w:type="dxa"/>
          </w:tcPr>
          <w:p>
            <w:pPr>
              <w:pStyle w:val="3"/>
              <w:adjustRightInd w:val="0"/>
              <w:snapToGrid w:val="0"/>
              <w:spacing w:before="0" w:after="0" w:line="240" w:lineRule="auto"/>
              <w:jc w:val="center"/>
              <w:rPr>
                <w:rFonts w:ascii="仿宋_GB2312" w:hAnsi="仿宋_GB2312" w:eastAsia="仿宋_GB2312" w:cs="仿宋_GB2312"/>
                <w:b w:val="0"/>
                <w:color w:val="auto"/>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b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73" w:type="dxa"/>
            <w:vAlign w:val="center"/>
          </w:tcPr>
          <w:p>
            <w:pPr>
              <w:snapToGrid w:val="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6</w:t>
            </w:r>
          </w:p>
        </w:tc>
        <w:tc>
          <w:tcPr>
            <w:tcW w:w="2340" w:type="dxa"/>
            <w:vAlign w:val="center"/>
          </w:tcPr>
          <w:p>
            <w:pPr>
              <w:snapToGrid w:val="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其它资格证明文件（如适用）</w:t>
            </w:r>
          </w:p>
        </w:tc>
        <w:tc>
          <w:tcPr>
            <w:tcW w:w="3318" w:type="dxa"/>
            <w:vAlign w:val="center"/>
          </w:tcPr>
          <w:p>
            <w:pPr>
              <w:pStyle w:val="3"/>
              <w:adjustRightInd w:val="0"/>
              <w:snapToGrid w:val="0"/>
              <w:spacing w:before="0" w:after="0" w:line="240" w:lineRule="auto"/>
              <w:jc w:val="left"/>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按要求提供且合法有效</w:t>
            </w:r>
          </w:p>
        </w:tc>
        <w:tc>
          <w:tcPr>
            <w:tcW w:w="762" w:type="dxa"/>
          </w:tcPr>
          <w:p>
            <w:pPr>
              <w:pStyle w:val="3"/>
              <w:adjustRightInd w:val="0"/>
              <w:snapToGrid w:val="0"/>
              <w:spacing w:before="0" w:after="0" w:line="240" w:lineRule="auto"/>
              <w:jc w:val="center"/>
              <w:rPr>
                <w:rFonts w:ascii="仿宋_GB2312" w:hAnsi="仿宋_GB2312" w:eastAsia="仿宋_GB2312" w:cs="仿宋_GB2312"/>
                <w:b w:val="0"/>
                <w:color w:val="auto"/>
                <w:sz w:val="21"/>
                <w:szCs w:val="21"/>
              </w:rPr>
            </w:pPr>
          </w:p>
        </w:tc>
        <w:tc>
          <w:tcPr>
            <w:tcW w:w="762" w:type="dxa"/>
          </w:tcPr>
          <w:p>
            <w:pPr>
              <w:pStyle w:val="3"/>
              <w:adjustRightInd w:val="0"/>
              <w:snapToGrid w:val="0"/>
              <w:spacing w:before="0" w:after="0" w:line="240" w:lineRule="auto"/>
              <w:jc w:val="center"/>
              <w:rPr>
                <w:rFonts w:ascii="仿宋_GB2312" w:hAnsi="仿宋_GB2312" w:eastAsia="仿宋_GB2312" w:cs="仿宋_GB2312"/>
                <w:b w:val="0"/>
                <w:color w:val="auto"/>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b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673" w:type="dxa"/>
            <w:vAlign w:val="center"/>
          </w:tcPr>
          <w:p>
            <w:pPr>
              <w:snapToGrid w:val="0"/>
              <w:jc w:val="center"/>
              <w:rPr>
                <w:rFonts w:ascii="仿宋_GB2312" w:hAnsi="仿宋_GB2312" w:eastAsia="仿宋_GB2312" w:cs="仿宋_GB2312"/>
                <w:color w:val="auto"/>
              </w:rPr>
            </w:pPr>
          </w:p>
        </w:tc>
        <w:tc>
          <w:tcPr>
            <w:tcW w:w="2340" w:type="dxa"/>
            <w:vAlign w:val="center"/>
          </w:tcPr>
          <w:p>
            <w:pPr>
              <w:snapToGrid w:val="0"/>
              <w:jc w:val="center"/>
              <w:rPr>
                <w:rFonts w:ascii="仿宋_GB2312" w:hAnsi="仿宋_GB2312" w:eastAsia="仿宋_GB2312" w:cs="仿宋_GB2312"/>
                <w:color w:val="auto"/>
              </w:rPr>
            </w:pPr>
            <w:r>
              <w:rPr>
                <w:rFonts w:hint="eastAsia" w:ascii="仿宋_GB2312" w:hAnsi="仿宋_GB2312" w:eastAsia="仿宋_GB2312" w:cs="仿宋_GB2312"/>
                <w:color w:val="auto"/>
              </w:rPr>
              <w:t>结论</w:t>
            </w:r>
          </w:p>
        </w:tc>
        <w:tc>
          <w:tcPr>
            <w:tcW w:w="3318" w:type="dxa"/>
          </w:tcPr>
          <w:p>
            <w:pPr>
              <w:pStyle w:val="3"/>
              <w:adjustRightInd w:val="0"/>
              <w:snapToGrid w:val="0"/>
              <w:spacing w:before="0" w:after="0" w:line="240" w:lineRule="auto"/>
              <w:jc w:val="center"/>
              <w:rPr>
                <w:rFonts w:ascii="仿宋_GB2312" w:hAnsi="仿宋_GB2312" w:eastAsia="仿宋_GB2312" w:cs="仿宋_GB2312"/>
                <w:b w:val="0"/>
                <w:color w:val="auto"/>
                <w:sz w:val="21"/>
                <w:szCs w:val="21"/>
              </w:rPr>
            </w:pPr>
          </w:p>
        </w:tc>
        <w:tc>
          <w:tcPr>
            <w:tcW w:w="762" w:type="dxa"/>
          </w:tcPr>
          <w:p>
            <w:pPr>
              <w:pStyle w:val="3"/>
              <w:adjustRightInd w:val="0"/>
              <w:snapToGrid w:val="0"/>
              <w:spacing w:before="0" w:after="0" w:line="240" w:lineRule="auto"/>
              <w:jc w:val="center"/>
              <w:rPr>
                <w:rFonts w:ascii="仿宋_GB2312" w:hAnsi="仿宋_GB2312" w:eastAsia="仿宋_GB2312" w:cs="仿宋_GB2312"/>
                <w:b w:val="0"/>
                <w:color w:val="auto"/>
                <w:sz w:val="21"/>
                <w:szCs w:val="21"/>
              </w:rPr>
            </w:pPr>
          </w:p>
        </w:tc>
        <w:tc>
          <w:tcPr>
            <w:tcW w:w="762" w:type="dxa"/>
          </w:tcPr>
          <w:p>
            <w:pPr>
              <w:pStyle w:val="3"/>
              <w:adjustRightInd w:val="0"/>
              <w:snapToGrid w:val="0"/>
              <w:spacing w:before="0" w:after="0" w:line="240" w:lineRule="auto"/>
              <w:jc w:val="center"/>
              <w:rPr>
                <w:rFonts w:ascii="仿宋_GB2312" w:hAnsi="仿宋_GB2312" w:eastAsia="仿宋_GB2312" w:cs="仿宋_GB2312"/>
                <w:b w:val="0"/>
                <w:color w:val="auto"/>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b w:val="0"/>
                <w:color w:val="auto"/>
                <w:sz w:val="21"/>
                <w:szCs w:val="21"/>
              </w:rPr>
            </w:pPr>
          </w:p>
        </w:tc>
      </w:tr>
    </w:tbl>
    <w:p>
      <w:pPr>
        <w:rPr>
          <w:rFonts w:ascii="仿宋_GB2312" w:hAnsi="仿宋_GB2312" w:eastAsia="仿宋_GB2312" w:cs="仿宋_GB2312"/>
          <w:color w:val="auto"/>
        </w:rPr>
      </w:pPr>
      <w:r>
        <w:rPr>
          <w:rFonts w:hint="eastAsia" w:ascii="仿宋_GB2312" w:hAnsi="仿宋_GB2312" w:eastAsia="仿宋_GB2312" w:cs="仿宋_GB2312"/>
          <w:color w:val="auto"/>
        </w:rPr>
        <w:t>填表说明：1、每项内容审查合格，在表中填写“√”；不合格填写“×”</w:t>
      </w:r>
    </w:p>
    <w:p>
      <w:pPr>
        <w:rPr>
          <w:rFonts w:ascii="仿宋_GB2312" w:hAnsi="仿宋_GB2312" w:eastAsia="仿宋_GB2312" w:cs="仿宋_GB2312"/>
          <w:color w:val="auto"/>
        </w:rPr>
      </w:pPr>
      <w:r>
        <w:rPr>
          <w:rFonts w:hint="eastAsia" w:ascii="仿宋_GB2312" w:hAnsi="仿宋_GB2312" w:eastAsia="仿宋_GB2312" w:cs="仿宋_GB2312"/>
          <w:color w:val="auto"/>
        </w:rPr>
        <w:t xml:space="preserve">          2、审查结论填写“通过”或“不通过”</w:t>
      </w:r>
    </w:p>
    <w:p>
      <w:pPr>
        <w:spacing w:line="360" w:lineRule="auto"/>
        <w:rPr>
          <w:rFonts w:ascii="仿宋_GB2312" w:hAnsi="仿宋_GB2312" w:eastAsia="仿宋_GB2312" w:cs="仿宋_GB2312"/>
          <w:color w:val="auto"/>
        </w:rPr>
      </w:pPr>
      <w:r>
        <w:rPr>
          <w:rFonts w:hint="eastAsia" w:ascii="仿宋_GB2312" w:hAnsi="仿宋_GB2312" w:eastAsia="仿宋_GB2312" w:cs="仿宋_GB2312"/>
          <w:color w:val="auto"/>
        </w:rPr>
        <w:t>评审小组成员签字：</w:t>
      </w:r>
    </w:p>
    <w:p>
      <w:pPr>
        <w:spacing w:line="360" w:lineRule="auto"/>
        <w:rPr>
          <w:rFonts w:ascii="仿宋_GB2312" w:hAnsi="仿宋_GB2312" w:eastAsia="仿宋_GB2312" w:cs="仿宋_GB2312"/>
          <w:color w:val="auto"/>
        </w:rPr>
      </w:pPr>
      <w:r>
        <w:rPr>
          <w:rFonts w:hint="eastAsia" w:ascii="仿宋_GB2312" w:hAnsi="仿宋_GB2312" w:eastAsia="仿宋_GB2312" w:cs="仿宋_GB2312"/>
          <w:color w:val="auto"/>
        </w:rPr>
        <w:t>日      期：</w:t>
      </w:r>
    </w:p>
    <w:p>
      <w:pPr>
        <w:pStyle w:val="18"/>
        <w:rPr>
          <w:rFonts w:ascii="仿宋_GB2312" w:hAnsi="仿宋_GB2312" w:eastAsia="仿宋_GB2312" w:cs="仿宋_GB2312"/>
          <w:color w:val="auto"/>
        </w:rPr>
      </w:pPr>
    </w:p>
    <w:p>
      <w:pPr>
        <w:rPr>
          <w:rFonts w:ascii="仿宋_GB2312" w:hAnsi="仿宋_GB2312" w:eastAsia="仿宋_GB2312" w:cs="仿宋_GB2312"/>
          <w:color w:val="auto"/>
        </w:rPr>
      </w:pPr>
    </w:p>
    <w:p>
      <w:pPr>
        <w:rPr>
          <w:color w:val="auto"/>
        </w:rPr>
      </w:pPr>
      <w:r>
        <w:rPr>
          <w:color w:val="auto"/>
        </w:rPr>
        <w:br w:type="page"/>
      </w:r>
    </w:p>
    <w:p>
      <w:pPr>
        <w:rPr>
          <w:color w:val="auto"/>
        </w:rPr>
      </w:pPr>
    </w:p>
    <w:p>
      <w:pPr>
        <w:pStyle w:val="3"/>
        <w:adjustRightInd w:val="0"/>
        <w:snapToGrid w:val="0"/>
        <w:spacing w:before="0" w:after="0" w:line="240" w:lineRule="auto"/>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附件2                  </w:t>
      </w:r>
    </w:p>
    <w:p>
      <w:pPr>
        <w:jc w:val="center"/>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响应性审查表</w:t>
      </w:r>
    </w:p>
    <w:tbl>
      <w:tblPr>
        <w:tblStyle w:val="19"/>
        <w:tblW w:w="8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502"/>
        <w:gridCol w:w="3036"/>
        <w:gridCol w:w="763"/>
        <w:gridCol w:w="763"/>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52" w:type="dxa"/>
            <w:vMerge w:val="restart"/>
            <w:vAlign w:val="center"/>
          </w:tcPr>
          <w:p>
            <w:pPr>
              <w:rPr>
                <w:rFonts w:ascii="仿宋_GB2312" w:hAnsi="仿宋_GB2312" w:eastAsia="仿宋_GB2312" w:cs="仿宋_GB2312"/>
                <w:color w:val="auto"/>
              </w:rPr>
            </w:pPr>
            <w:r>
              <w:rPr>
                <w:rFonts w:hint="eastAsia" w:ascii="仿宋_GB2312" w:hAnsi="仿宋_GB2312" w:eastAsia="仿宋_GB2312" w:cs="仿宋_GB2312"/>
                <w:color w:val="auto"/>
              </w:rPr>
              <w:t>序号</w:t>
            </w:r>
          </w:p>
        </w:tc>
        <w:tc>
          <w:tcPr>
            <w:tcW w:w="2502" w:type="dxa"/>
            <w:vMerge w:val="restart"/>
            <w:vAlign w:val="center"/>
          </w:tcPr>
          <w:p>
            <w:pPr>
              <w:pStyle w:val="3"/>
              <w:adjustRightInd w:val="0"/>
              <w:snapToGrid w:val="0"/>
              <w:spacing w:before="0" w:after="0" w:line="240" w:lineRule="auto"/>
              <w:jc w:val="center"/>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审查项目</w:t>
            </w:r>
          </w:p>
        </w:tc>
        <w:tc>
          <w:tcPr>
            <w:tcW w:w="3036" w:type="dxa"/>
            <w:vMerge w:val="restart"/>
            <w:vAlign w:val="center"/>
          </w:tcPr>
          <w:p>
            <w:pPr>
              <w:pStyle w:val="3"/>
              <w:adjustRightInd w:val="0"/>
              <w:snapToGrid w:val="0"/>
              <w:spacing w:before="0" w:after="0" w:line="240" w:lineRule="auto"/>
              <w:jc w:val="center"/>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审查标准</w:t>
            </w:r>
          </w:p>
        </w:tc>
        <w:tc>
          <w:tcPr>
            <w:tcW w:w="2289" w:type="dxa"/>
            <w:gridSpan w:val="3"/>
            <w:vAlign w:val="center"/>
          </w:tcPr>
          <w:p>
            <w:pPr>
              <w:pStyle w:val="3"/>
              <w:adjustRightInd w:val="0"/>
              <w:snapToGrid w:val="0"/>
              <w:spacing w:before="0" w:after="0" w:line="240" w:lineRule="auto"/>
              <w:jc w:val="center"/>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52" w:type="dxa"/>
            <w:vMerge w:val="continue"/>
            <w:vAlign w:val="center"/>
          </w:tcPr>
          <w:p>
            <w:pPr>
              <w:pStyle w:val="3"/>
              <w:adjustRightInd w:val="0"/>
              <w:snapToGrid w:val="0"/>
              <w:spacing w:before="0" w:after="0" w:line="240" w:lineRule="auto"/>
              <w:jc w:val="center"/>
              <w:rPr>
                <w:rFonts w:ascii="仿宋_GB2312" w:hAnsi="仿宋_GB2312" w:eastAsia="仿宋_GB2312" w:cs="仿宋_GB2312"/>
                <w:color w:val="auto"/>
                <w:sz w:val="21"/>
                <w:szCs w:val="21"/>
              </w:rPr>
            </w:pPr>
          </w:p>
        </w:tc>
        <w:tc>
          <w:tcPr>
            <w:tcW w:w="2502" w:type="dxa"/>
            <w:vMerge w:val="continue"/>
            <w:vAlign w:val="center"/>
          </w:tcPr>
          <w:p>
            <w:pPr>
              <w:pStyle w:val="3"/>
              <w:adjustRightInd w:val="0"/>
              <w:snapToGrid w:val="0"/>
              <w:spacing w:before="0" w:after="0" w:line="240" w:lineRule="auto"/>
              <w:jc w:val="center"/>
              <w:rPr>
                <w:rFonts w:ascii="仿宋_GB2312" w:hAnsi="仿宋_GB2312" w:eastAsia="仿宋_GB2312" w:cs="仿宋_GB2312"/>
                <w:color w:val="auto"/>
                <w:sz w:val="21"/>
                <w:szCs w:val="21"/>
              </w:rPr>
            </w:pPr>
          </w:p>
        </w:tc>
        <w:tc>
          <w:tcPr>
            <w:tcW w:w="3036" w:type="dxa"/>
            <w:vMerge w:val="continue"/>
            <w:vAlign w:val="center"/>
          </w:tcPr>
          <w:p>
            <w:pPr>
              <w:pStyle w:val="3"/>
              <w:adjustRightInd w:val="0"/>
              <w:snapToGrid w:val="0"/>
              <w:spacing w:before="0" w:after="0" w:line="240" w:lineRule="auto"/>
              <w:jc w:val="center"/>
              <w:rPr>
                <w:rFonts w:ascii="仿宋_GB2312" w:hAnsi="仿宋_GB2312" w:eastAsia="仿宋_GB2312" w:cs="仿宋_GB2312"/>
                <w:color w:val="auto"/>
                <w:sz w:val="21"/>
                <w:szCs w:val="21"/>
              </w:rPr>
            </w:pPr>
          </w:p>
        </w:tc>
        <w:tc>
          <w:tcPr>
            <w:tcW w:w="763" w:type="dxa"/>
            <w:vAlign w:val="center"/>
          </w:tcPr>
          <w:p>
            <w:pPr>
              <w:pStyle w:val="3"/>
              <w:adjustRightInd w:val="0"/>
              <w:snapToGrid w:val="0"/>
              <w:spacing w:before="0" w:after="0" w:line="240" w:lineRule="auto"/>
              <w:jc w:val="center"/>
              <w:rPr>
                <w:rFonts w:ascii="仿宋_GB2312" w:hAnsi="仿宋_GB2312" w:eastAsia="仿宋_GB2312" w:cs="仿宋_GB2312"/>
                <w:color w:val="auto"/>
                <w:sz w:val="21"/>
                <w:szCs w:val="21"/>
              </w:rPr>
            </w:pPr>
          </w:p>
        </w:tc>
        <w:tc>
          <w:tcPr>
            <w:tcW w:w="763" w:type="dxa"/>
            <w:vAlign w:val="center"/>
          </w:tcPr>
          <w:p>
            <w:pPr>
              <w:pStyle w:val="3"/>
              <w:adjustRightInd w:val="0"/>
              <w:snapToGrid w:val="0"/>
              <w:spacing w:before="0" w:after="0" w:line="240" w:lineRule="auto"/>
              <w:jc w:val="center"/>
              <w:rPr>
                <w:rFonts w:ascii="仿宋_GB2312" w:hAnsi="仿宋_GB2312" w:eastAsia="仿宋_GB2312" w:cs="仿宋_GB2312"/>
                <w:color w:val="auto"/>
                <w:sz w:val="21"/>
                <w:szCs w:val="21"/>
              </w:rPr>
            </w:pPr>
          </w:p>
        </w:tc>
        <w:tc>
          <w:tcPr>
            <w:tcW w:w="763" w:type="dxa"/>
            <w:vAlign w:val="center"/>
          </w:tcPr>
          <w:p>
            <w:pPr>
              <w:pStyle w:val="3"/>
              <w:adjustRightInd w:val="0"/>
              <w:snapToGrid w:val="0"/>
              <w:spacing w:before="0" w:after="0" w:line="240" w:lineRule="auto"/>
              <w:jc w:val="center"/>
              <w:rPr>
                <w:rFonts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52" w:type="dxa"/>
            <w:vAlign w:val="center"/>
          </w:tcPr>
          <w:p>
            <w:pPr>
              <w:jc w:val="center"/>
              <w:rPr>
                <w:rFonts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1</w:t>
            </w:r>
          </w:p>
        </w:tc>
        <w:tc>
          <w:tcPr>
            <w:tcW w:w="2502" w:type="dxa"/>
            <w:vAlign w:val="center"/>
          </w:tcPr>
          <w:p>
            <w:pPr>
              <w:rPr>
                <w:rFonts w:ascii="仿宋_GB2312" w:hAnsi="仿宋_GB2312" w:eastAsia="仿宋_GB2312" w:cs="仿宋_GB2312"/>
                <w:b/>
                <w:color w:val="auto"/>
                <w:szCs w:val="21"/>
              </w:rPr>
            </w:pPr>
            <w:r>
              <w:rPr>
                <w:rFonts w:hint="eastAsia" w:ascii="仿宋_GB2312" w:hAnsi="仿宋_GB2312" w:eastAsia="仿宋_GB2312" w:cs="仿宋_GB2312"/>
                <w:color w:val="auto"/>
                <w:kern w:val="0"/>
                <w:sz w:val="20"/>
                <w:szCs w:val="21"/>
              </w:rPr>
              <w:t>投标函</w:t>
            </w:r>
          </w:p>
        </w:tc>
        <w:tc>
          <w:tcPr>
            <w:tcW w:w="3036" w:type="dxa"/>
          </w:tcPr>
          <w:p>
            <w:pPr>
              <w:pStyle w:val="3"/>
              <w:adjustRightInd w:val="0"/>
              <w:snapToGrid w:val="0"/>
              <w:spacing w:before="0" w:after="0" w:line="240" w:lineRule="auto"/>
              <w:jc w:val="left"/>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1.按给定格式填写</w:t>
            </w:r>
          </w:p>
          <w:p>
            <w:pPr>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2.响应招标文件实质性要求</w:t>
            </w:r>
          </w:p>
          <w:p>
            <w:pPr>
              <w:pStyle w:val="3"/>
              <w:adjustRightInd w:val="0"/>
              <w:snapToGrid w:val="0"/>
              <w:spacing w:before="0" w:after="0" w:line="240" w:lineRule="auto"/>
              <w:jc w:val="left"/>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3.按规定签章</w:t>
            </w:r>
          </w:p>
        </w:tc>
        <w:tc>
          <w:tcPr>
            <w:tcW w:w="763" w:type="dxa"/>
            <w:vAlign w:val="center"/>
          </w:tcPr>
          <w:p>
            <w:pPr>
              <w:pStyle w:val="3"/>
              <w:adjustRightInd w:val="0"/>
              <w:snapToGrid w:val="0"/>
              <w:spacing w:before="0" w:after="0" w:line="240" w:lineRule="auto"/>
              <w:jc w:val="center"/>
              <w:rPr>
                <w:rFonts w:ascii="仿宋_GB2312" w:hAnsi="仿宋_GB2312" w:eastAsia="仿宋_GB2312" w:cs="仿宋_GB2312"/>
                <w:color w:val="auto"/>
                <w:sz w:val="21"/>
                <w:szCs w:val="21"/>
              </w:rPr>
            </w:pPr>
          </w:p>
        </w:tc>
        <w:tc>
          <w:tcPr>
            <w:tcW w:w="763" w:type="dxa"/>
            <w:vAlign w:val="center"/>
          </w:tcPr>
          <w:p>
            <w:pPr>
              <w:pStyle w:val="3"/>
              <w:adjustRightInd w:val="0"/>
              <w:snapToGrid w:val="0"/>
              <w:spacing w:before="0" w:after="0" w:line="240" w:lineRule="auto"/>
              <w:jc w:val="center"/>
              <w:rPr>
                <w:rFonts w:ascii="仿宋_GB2312" w:hAnsi="仿宋_GB2312" w:eastAsia="仿宋_GB2312" w:cs="仿宋_GB2312"/>
                <w:color w:val="auto"/>
                <w:sz w:val="21"/>
                <w:szCs w:val="21"/>
              </w:rPr>
            </w:pPr>
          </w:p>
        </w:tc>
        <w:tc>
          <w:tcPr>
            <w:tcW w:w="763" w:type="dxa"/>
            <w:vAlign w:val="center"/>
          </w:tcPr>
          <w:p>
            <w:pPr>
              <w:pStyle w:val="3"/>
              <w:adjustRightInd w:val="0"/>
              <w:snapToGrid w:val="0"/>
              <w:spacing w:before="0" w:after="0" w:line="240" w:lineRule="auto"/>
              <w:jc w:val="center"/>
              <w:rPr>
                <w:rFonts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52" w:type="dxa"/>
            <w:vAlign w:val="center"/>
          </w:tcPr>
          <w:p>
            <w:pPr>
              <w:jc w:val="center"/>
              <w:rPr>
                <w:rFonts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2</w:t>
            </w:r>
          </w:p>
        </w:tc>
        <w:tc>
          <w:tcPr>
            <w:tcW w:w="2502" w:type="dxa"/>
            <w:vAlign w:val="center"/>
          </w:tcPr>
          <w:p>
            <w:pPr>
              <w:snapToGrid w:val="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投标报价</w:t>
            </w:r>
          </w:p>
        </w:tc>
        <w:tc>
          <w:tcPr>
            <w:tcW w:w="3036" w:type="dxa"/>
            <w:vAlign w:val="center"/>
          </w:tcPr>
          <w:p>
            <w:pPr>
              <w:pStyle w:val="3"/>
              <w:adjustRightInd w:val="0"/>
              <w:snapToGrid w:val="0"/>
              <w:spacing w:before="0" w:after="0" w:line="240" w:lineRule="auto"/>
              <w:rPr>
                <w:rFonts w:ascii="仿宋_GB2312" w:hAnsi="仿宋_GB2312" w:eastAsia="仿宋_GB2312" w:cs="仿宋_GB2312"/>
                <w:b w:val="0"/>
                <w:color w:val="auto"/>
                <w:szCs w:val="21"/>
              </w:rPr>
            </w:pPr>
            <w:r>
              <w:rPr>
                <w:rFonts w:hint="eastAsia" w:ascii="仿宋_GB2312" w:hAnsi="仿宋_GB2312" w:eastAsia="仿宋_GB2312" w:cs="仿宋_GB2312"/>
                <w:b w:val="0"/>
                <w:color w:val="auto"/>
                <w:sz w:val="21"/>
                <w:szCs w:val="21"/>
              </w:rPr>
              <w:t>只能有一个报价且有效（没有超过最高限价）</w:t>
            </w:r>
          </w:p>
        </w:tc>
        <w:tc>
          <w:tcPr>
            <w:tcW w:w="763" w:type="dxa"/>
          </w:tcPr>
          <w:p>
            <w:pPr>
              <w:pStyle w:val="3"/>
              <w:adjustRightInd w:val="0"/>
              <w:snapToGrid w:val="0"/>
              <w:spacing w:before="0" w:after="0" w:line="240" w:lineRule="auto"/>
              <w:jc w:val="center"/>
              <w:rPr>
                <w:rFonts w:ascii="仿宋_GB2312" w:hAnsi="仿宋_GB2312" w:eastAsia="仿宋_GB2312" w:cs="仿宋_GB2312"/>
                <w:color w:val="auto"/>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color w:val="auto"/>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52" w:type="dxa"/>
            <w:vAlign w:val="center"/>
          </w:tcPr>
          <w:p>
            <w:pPr>
              <w:jc w:val="center"/>
              <w:rPr>
                <w:rFonts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3</w:t>
            </w:r>
          </w:p>
        </w:tc>
        <w:tc>
          <w:tcPr>
            <w:tcW w:w="2502" w:type="dxa"/>
            <w:vAlign w:val="center"/>
          </w:tcPr>
          <w:p>
            <w:pPr>
              <w:rPr>
                <w:rFonts w:ascii="仿宋_GB2312" w:hAnsi="仿宋_GB2312" w:eastAsia="仿宋_GB2312" w:cs="仿宋_GB2312"/>
                <w:b/>
                <w:color w:val="auto"/>
                <w:szCs w:val="21"/>
              </w:rPr>
            </w:pPr>
            <w:r>
              <w:rPr>
                <w:rFonts w:hint="eastAsia" w:ascii="仿宋_GB2312" w:hAnsi="仿宋_GB2312" w:eastAsia="仿宋_GB2312" w:cs="仿宋_GB2312"/>
                <w:color w:val="auto"/>
                <w:kern w:val="0"/>
                <w:szCs w:val="21"/>
              </w:rPr>
              <w:t>报价一览表</w:t>
            </w:r>
          </w:p>
        </w:tc>
        <w:tc>
          <w:tcPr>
            <w:tcW w:w="3036" w:type="dxa"/>
          </w:tcPr>
          <w:p>
            <w:pPr>
              <w:pStyle w:val="3"/>
              <w:adjustRightInd w:val="0"/>
              <w:snapToGrid w:val="0"/>
              <w:spacing w:before="0" w:after="0" w:line="240" w:lineRule="auto"/>
              <w:jc w:val="left"/>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1.按给定格式填写</w:t>
            </w:r>
          </w:p>
          <w:p>
            <w:pPr>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2.响应招标文件实质性要求</w:t>
            </w:r>
          </w:p>
          <w:p>
            <w:pPr>
              <w:pStyle w:val="3"/>
              <w:adjustRightInd w:val="0"/>
              <w:snapToGrid w:val="0"/>
              <w:spacing w:before="0" w:after="0" w:line="240" w:lineRule="auto"/>
              <w:jc w:val="left"/>
              <w:rPr>
                <w:rFonts w:ascii="仿宋_GB2312" w:hAnsi="仿宋_GB2312" w:eastAsia="仿宋_GB2312" w:cs="仿宋_GB2312"/>
                <w:b w:val="0"/>
                <w:color w:val="auto"/>
                <w:sz w:val="21"/>
                <w:szCs w:val="21"/>
              </w:rPr>
            </w:pPr>
            <w:r>
              <w:rPr>
                <w:rFonts w:hint="eastAsia" w:ascii="仿宋_GB2312" w:hAnsi="仿宋_GB2312" w:eastAsia="仿宋_GB2312" w:cs="仿宋_GB2312"/>
                <w:b w:val="0"/>
                <w:color w:val="auto"/>
                <w:sz w:val="21"/>
                <w:szCs w:val="21"/>
              </w:rPr>
              <w:t>3.按规定签章</w:t>
            </w:r>
          </w:p>
        </w:tc>
        <w:tc>
          <w:tcPr>
            <w:tcW w:w="763" w:type="dxa"/>
          </w:tcPr>
          <w:p>
            <w:pPr>
              <w:pStyle w:val="3"/>
              <w:adjustRightInd w:val="0"/>
              <w:snapToGrid w:val="0"/>
              <w:spacing w:before="0" w:after="0" w:line="240" w:lineRule="auto"/>
              <w:jc w:val="center"/>
              <w:rPr>
                <w:rFonts w:ascii="仿宋_GB2312" w:hAnsi="仿宋_GB2312" w:eastAsia="仿宋_GB2312" w:cs="仿宋_GB2312"/>
                <w:color w:val="auto"/>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color w:val="auto"/>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52" w:type="dxa"/>
            <w:vAlign w:val="center"/>
          </w:tcPr>
          <w:p>
            <w:pPr>
              <w:jc w:val="center"/>
              <w:rPr>
                <w:rFonts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4</w:t>
            </w:r>
          </w:p>
        </w:tc>
        <w:tc>
          <w:tcPr>
            <w:tcW w:w="2502" w:type="dxa"/>
            <w:vAlign w:val="center"/>
          </w:tcPr>
          <w:p>
            <w:pP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工期（服务期、交货期）</w:t>
            </w:r>
          </w:p>
        </w:tc>
        <w:tc>
          <w:tcPr>
            <w:tcW w:w="3036" w:type="dxa"/>
            <w:vAlign w:val="center"/>
          </w:tcPr>
          <w:p>
            <w:pP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满足招标文件要求</w:t>
            </w:r>
          </w:p>
        </w:tc>
        <w:tc>
          <w:tcPr>
            <w:tcW w:w="763" w:type="dxa"/>
          </w:tcPr>
          <w:p>
            <w:pPr>
              <w:pStyle w:val="3"/>
              <w:adjustRightInd w:val="0"/>
              <w:snapToGrid w:val="0"/>
              <w:spacing w:before="0" w:after="0" w:line="240" w:lineRule="auto"/>
              <w:jc w:val="center"/>
              <w:rPr>
                <w:rFonts w:ascii="仿宋_GB2312" w:hAnsi="仿宋_GB2312" w:eastAsia="仿宋_GB2312" w:cs="仿宋_GB2312"/>
                <w:color w:val="auto"/>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color w:val="auto"/>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2" w:type="dxa"/>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4</w:t>
            </w:r>
          </w:p>
        </w:tc>
        <w:tc>
          <w:tcPr>
            <w:tcW w:w="2502" w:type="dxa"/>
            <w:vAlign w:val="center"/>
          </w:tcPr>
          <w:p>
            <w:pP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投标保证金</w:t>
            </w:r>
          </w:p>
        </w:tc>
        <w:tc>
          <w:tcPr>
            <w:tcW w:w="3036" w:type="dxa"/>
            <w:vAlign w:val="center"/>
          </w:tcPr>
          <w:p>
            <w:pP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按要求提供且合法有效</w:t>
            </w:r>
          </w:p>
        </w:tc>
        <w:tc>
          <w:tcPr>
            <w:tcW w:w="763" w:type="dxa"/>
          </w:tcPr>
          <w:p>
            <w:pPr>
              <w:pStyle w:val="3"/>
              <w:adjustRightInd w:val="0"/>
              <w:snapToGrid w:val="0"/>
              <w:spacing w:before="0" w:after="0" w:line="240" w:lineRule="auto"/>
              <w:jc w:val="center"/>
              <w:rPr>
                <w:rFonts w:ascii="仿宋_GB2312" w:hAnsi="仿宋_GB2312" w:eastAsia="仿宋_GB2312" w:cs="仿宋_GB2312"/>
                <w:color w:val="auto"/>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color w:val="auto"/>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52" w:type="dxa"/>
            <w:vAlign w:val="center"/>
          </w:tcPr>
          <w:p>
            <w:pPr>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5</w:t>
            </w:r>
          </w:p>
        </w:tc>
        <w:tc>
          <w:tcPr>
            <w:tcW w:w="2502" w:type="dxa"/>
            <w:vAlign w:val="center"/>
          </w:tcPr>
          <w:p>
            <w:pPr>
              <w:rPr>
                <w:rFonts w:ascii="仿宋_GB2312" w:hAnsi="仿宋_GB2312" w:eastAsia="仿宋_GB2312" w:cs="仿宋_GB2312"/>
                <w:b/>
                <w:color w:val="auto"/>
                <w:szCs w:val="21"/>
              </w:rPr>
            </w:pPr>
            <w:r>
              <w:rPr>
                <w:rFonts w:hint="eastAsia" w:ascii="仿宋_GB2312" w:hAnsi="仿宋_GB2312" w:eastAsia="仿宋_GB2312" w:cs="仿宋_GB2312"/>
                <w:color w:val="auto"/>
                <w:kern w:val="0"/>
                <w:szCs w:val="21"/>
              </w:rPr>
              <w:t>商务技术偏离表</w:t>
            </w:r>
          </w:p>
        </w:tc>
        <w:tc>
          <w:tcPr>
            <w:tcW w:w="3036" w:type="dxa"/>
            <w:vAlign w:val="center"/>
          </w:tcPr>
          <w:p>
            <w:pP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无招标人不能接受的偏差内容</w:t>
            </w:r>
          </w:p>
        </w:tc>
        <w:tc>
          <w:tcPr>
            <w:tcW w:w="763" w:type="dxa"/>
          </w:tcPr>
          <w:p>
            <w:pPr>
              <w:pStyle w:val="3"/>
              <w:adjustRightInd w:val="0"/>
              <w:snapToGrid w:val="0"/>
              <w:spacing w:before="0" w:after="0" w:line="240" w:lineRule="auto"/>
              <w:jc w:val="center"/>
              <w:rPr>
                <w:rFonts w:ascii="仿宋_GB2312" w:hAnsi="仿宋_GB2312" w:eastAsia="仿宋_GB2312" w:cs="仿宋_GB2312"/>
                <w:color w:val="auto"/>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color w:val="auto"/>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8" w:hRule="atLeast"/>
        </w:trPr>
        <w:tc>
          <w:tcPr>
            <w:tcW w:w="752" w:type="dxa"/>
            <w:vAlign w:val="center"/>
          </w:tcPr>
          <w:p>
            <w:pPr>
              <w:snapToGrid w:val="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6</w:t>
            </w:r>
          </w:p>
        </w:tc>
        <w:tc>
          <w:tcPr>
            <w:tcW w:w="2502" w:type="dxa"/>
            <w:vAlign w:val="center"/>
          </w:tcPr>
          <w:p>
            <w:pPr>
              <w:snapToGrid w:val="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其他</w:t>
            </w:r>
          </w:p>
        </w:tc>
        <w:tc>
          <w:tcPr>
            <w:tcW w:w="3036" w:type="dxa"/>
            <w:vAlign w:val="center"/>
          </w:tcPr>
          <w:p>
            <w:pPr>
              <w:pStyle w:val="3"/>
              <w:adjustRightInd w:val="0"/>
              <w:snapToGrid w:val="0"/>
              <w:spacing w:before="0" w:after="0" w:line="240" w:lineRule="auto"/>
              <w:rPr>
                <w:rFonts w:ascii="仿宋_GB2312" w:hAnsi="仿宋_GB2312" w:eastAsia="仿宋_GB2312" w:cs="仿宋_GB2312"/>
                <w:b w:val="0"/>
                <w:color w:val="auto"/>
                <w:szCs w:val="21"/>
              </w:rPr>
            </w:pPr>
            <w:r>
              <w:rPr>
                <w:rFonts w:hint="eastAsia" w:ascii="仿宋_GB2312" w:hAnsi="仿宋_GB2312" w:eastAsia="仿宋_GB2312" w:cs="仿宋_GB2312"/>
                <w:b w:val="0"/>
                <w:color w:val="auto"/>
                <w:sz w:val="21"/>
                <w:szCs w:val="21"/>
              </w:rPr>
              <w:t>无法律法规及招标文件规定的其他废标内容</w:t>
            </w:r>
          </w:p>
        </w:tc>
        <w:tc>
          <w:tcPr>
            <w:tcW w:w="763" w:type="dxa"/>
          </w:tcPr>
          <w:p>
            <w:pPr>
              <w:pStyle w:val="3"/>
              <w:adjustRightInd w:val="0"/>
              <w:snapToGrid w:val="0"/>
              <w:spacing w:before="0" w:after="0" w:line="240" w:lineRule="auto"/>
              <w:jc w:val="center"/>
              <w:rPr>
                <w:rFonts w:ascii="仿宋_GB2312" w:hAnsi="仿宋_GB2312" w:eastAsia="仿宋_GB2312" w:cs="仿宋_GB2312"/>
                <w:color w:val="auto"/>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color w:val="auto"/>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52" w:type="dxa"/>
            <w:vAlign w:val="center"/>
          </w:tcPr>
          <w:p>
            <w:pPr>
              <w:snapToGrid w:val="0"/>
              <w:jc w:val="center"/>
              <w:rPr>
                <w:rFonts w:ascii="仿宋_GB2312" w:hAnsi="仿宋_GB2312" w:eastAsia="仿宋_GB2312" w:cs="仿宋_GB2312"/>
                <w:color w:val="auto"/>
                <w:szCs w:val="21"/>
              </w:rPr>
            </w:pPr>
          </w:p>
        </w:tc>
        <w:tc>
          <w:tcPr>
            <w:tcW w:w="2502" w:type="dxa"/>
            <w:vAlign w:val="center"/>
          </w:tcPr>
          <w:p>
            <w:pPr>
              <w:snapToGrid w:val="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结论</w:t>
            </w:r>
          </w:p>
        </w:tc>
        <w:tc>
          <w:tcPr>
            <w:tcW w:w="3036" w:type="dxa"/>
          </w:tcPr>
          <w:p>
            <w:pPr>
              <w:pStyle w:val="3"/>
              <w:adjustRightInd w:val="0"/>
              <w:snapToGrid w:val="0"/>
              <w:spacing w:before="0" w:after="0" w:line="240" w:lineRule="auto"/>
              <w:jc w:val="center"/>
              <w:rPr>
                <w:rFonts w:ascii="仿宋_GB2312" w:hAnsi="仿宋_GB2312" w:eastAsia="仿宋_GB2312" w:cs="仿宋_GB2312"/>
                <w:color w:val="auto"/>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color w:val="auto"/>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color w:val="auto"/>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color w:val="auto"/>
                <w:sz w:val="21"/>
                <w:szCs w:val="21"/>
              </w:rPr>
            </w:pPr>
          </w:p>
        </w:tc>
      </w:tr>
    </w:tbl>
    <w:p>
      <w:pPr>
        <w:ind w:firstLine="420" w:firstLineChars="200"/>
        <w:rPr>
          <w:rFonts w:ascii="仿宋_GB2312" w:hAnsi="仿宋_GB2312" w:eastAsia="仿宋_GB2312" w:cs="仿宋_GB2312"/>
          <w:color w:val="auto"/>
        </w:rPr>
      </w:pPr>
    </w:p>
    <w:p>
      <w:pPr>
        <w:rPr>
          <w:rFonts w:ascii="仿宋_GB2312" w:hAnsi="仿宋_GB2312" w:eastAsia="仿宋_GB2312" w:cs="仿宋_GB2312"/>
          <w:color w:val="auto"/>
        </w:rPr>
      </w:pPr>
      <w:r>
        <w:rPr>
          <w:rFonts w:hint="eastAsia" w:ascii="仿宋_GB2312" w:hAnsi="仿宋_GB2312" w:eastAsia="仿宋_GB2312" w:cs="仿宋_GB2312"/>
          <w:color w:val="auto"/>
        </w:rPr>
        <w:t>填表说明：1、每项内容审查合格，在表中填写“√”；不合格填写“×”</w:t>
      </w:r>
    </w:p>
    <w:p>
      <w:pPr>
        <w:rPr>
          <w:rFonts w:ascii="仿宋_GB2312" w:hAnsi="仿宋_GB2312" w:eastAsia="仿宋_GB2312" w:cs="仿宋_GB2312"/>
          <w:color w:val="auto"/>
        </w:rPr>
      </w:pPr>
      <w:r>
        <w:rPr>
          <w:rFonts w:hint="eastAsia" w:ascii="仿宋_GB2312" w:hAnsi="仿宋_GB2312" w:eastAsia="仿宋_GB2312" w:cs="仿宋_GB2312"/>
          <w:color w:val="auto"/>
        </w:rPr>
        <w:t xml:space="preserve">          2、审查结论填写“通过”或“不通过”</w:t>
      </w:r>
    </w:p>
    <w:p>
      <w:pPr>
        <w:spacing w:line="360" w:lineRule="auto"/>
        <w:rPr>
          <w:rFonts w:ascii="仿宋_GB2312" w:hAnsi="仿宋_GB2312" w:eastAsia="仿宋_GB2312" w:cs="仿宋_GB2312"/>
          <w:color w:val="auto"/>
        </w:rPr>
      </w:pPr>
      <w:r>
        <w:rPr>
          <w:rFonts w:hint="eastAsia" w:ascii="仿宋_GB2312" w:hAnsi="仿宋_GB2312" w:eastAsia="仿宋_GB2312" w:cs="仿宋_GB2312"/>
          <w:color w:val="auto"/>
        </w:rPr>
        <w:t xml:space="preserve">评审小组成员签字： </w:t>
      </w:r>
    </w:p>
    <w:p>
      <w:pPr>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rPr>
        <w:t xml:space="preserve">日      期： </w:t>
      </w:r>
      <w:r>
        <w:rPr>
          <w:rFonts w:hint="eastAsia" w:ascii="仿宋_GB2312" w:hAnsi="仿宋_GB2312" w:eastAsia="仿宋_GB2312" w:cs="仿宋_GB2312"/>
          <w:color w:val="auto"/>
          <w:szCs w:val="21"/>
        </w:rPr>
        <w:br w:type="page"/>
      </w:r>
    </w:p>
    <w:p>
      <w:pPr>
        <w:rPr>
          <w:rFonts w:ascii="仿宋_GB2312" w:hAnsi="仿宋_GB2312" w:eastAsia="仿宋_GB2312" w:cs="仿宋_GB2312"/>
          <w:color w:val="auto"/>
        </w:rPr>
      </w:pPr>
    </w:p>
    <w:p>
      <w:pPr>
        <w:rPr>
          <w:rFonts w:ascii="仿宋_GB2312" w:hAnsi="仿宋_GB2312" w:eastAsia="仿宋_GB2312" w:cs="仿宋_GB2312"/>
          <w:color w:val="auto"/>
        </w:rPr>
      </w:pPr>
    </w:p>
    <w:p>
      <w:pPr>
        <w:rPr>
          <w:rFonts w:ascii="仿宋_GB2312" w:hAnsi="仿宋_GB2312" w:eastAsia="仿宋_GB2312" w:cs="仿宋_GB2312"/>
          <w:color w:val="auto"/>
        </w:rPr>
      </w:pPr>
    </w:p>
    <w:p>
      <w:pPr>
        <w:rPr>
          <w:rFonts w:ascii="仿宋_GB2312" w:hAnsi="仿宋_GB2312" w:eastAsia="仿宋_GB2312" w:cs="仿宋_GB2312"/>
          <w:color w:val="auto"/>
        </w:rPr>
      </w:pPr>
    </w:p>
    <w:p>
      <w:pPr>
        <w:rPr>
          <w:rFonts w:ascii="仿宋_GB2312" w:hAnsi="仿宋_GB2312" w:eastAsia="仿宋_GB2312" w:cs="仿宋_GB2312"/>
          <w:color w:val="auto"/>
        </w:rPr>
      </w:pPr>
    </w:p>
    <w:p>
      <w:pPr>
        <w:rPr>
          <w:rFonts w:ascii="仿宋_GB2312" w:hAnsi="仿宋_GB2312" w:eastAsia="仿宋_GB2312" w:cs="仿宋_GB2312"/>
          <w:color w:val="auto"/>
        </w:rPr>
      </w:pPr>
    </w:p>
    <w:p>
      <w:pPr>
        <w:rPr>
          <w:rFonts w:ascii="仿宋_GB2312" w:hAnsi="仿宋_GB2312" w:eastAsia="仿宋_GB2312" w:cs="仿宋_GB2312"/>
          <w:color w:val="auto"/>
        </w:rPr>
      </w:pPr>
    </w:p>
    <w:p>
      <w:pPr>
        <w:rPr>
          <w:rFonts w:ascii="仿宋_GB2312" w:hAnsi="仿宋_GB2312" w:eastAsia="仿宋_GB2312" w:cs="仿宋_GB2312"/>
          <w:color w:val="auto"/>
        </w:rPr>
      </w:pPr>
    </w:p>
    <w:p>
      <w:pPr>
        <w:rPr>
          <w:rFonts w:ascii="仿宋_GB2312" w:hAnsi="仿宋_GB2312" w:eastAsia="仿宋_GB2312" w:cs="仿宋_GB2312"/>
          <w:color w:val="auto"/>
        </w:rPr>
      </w:pPr>
    </w:p>
    <w:p>
      <w:pPr>
        <w:rPr>
          <w:rFonts w:ascii="仿宋_GB2312" w:hAnsi="仿宋_GB2312" w:eastAsia="仿宋_GB2312" w:cs="仿宋_GB2312"/>
          <w:color w:val="auto"/>
        </w:rPr>
      </w:pPr>
    </w:p>
    <w:p>
      <w:pPr>
        <w:rPr>
          <w:rFonts w:ascii="仿宋_GB2312" w:hAnsi="仿宋_GB2312" w:eastAsia="仿宋_GB2312" w:cs="仿宋_GB2312"/>
          <w:color w:val="auto"/>
        </w:rPr>
      </w:pPr>
    </w:p>
    <w:p>
      <w:pPr>
        <w:pStyle w:val="2"/>
        <w:adjustRightInd w:val="0"/>
        <w:snapToGrid w:val="0"/>
        <w:spacing w:before="319" w:beforeLines="100" w:after="319" w:afterLines="100" w:line="360" w:lineRule="auto"/>
        <w:jc w:val="center"/>
        <w:rPr>
          <w:rFonts w:ascii="仿宋_GB2312" w:hAnsi="仿宋_GB2312" w:eastAsia="仿宋_GB2312" w:cs="仿宋_GB2312"/>
          <w:color w:val="auto"/>
        </w:rPr>
      </w:pPr>
      <w:bookmarkStart w:id="16" w:name="_Toc19210_WPSOffice_Level1"/>
      <w:bookmarkStart w:id="17" w:name="_Toc18374"/>
      <w:bookmarkStart w:id="18" w:name="_Toc7909"/>
      <w:r>
        <w:rPr>
          <w:rFonts w:hint="eastAsia" w:ascii="仿宋_GB2312" w:hAnsi="仿宋_GB2312" w:eastAsia="仿宋_GB2312" w:cs="仿宋_GB2312"/>
          <w:color w:val="auto"/>
        </w:rPr>
        <w:t>第五章 合同格式</w:t>
      </w:r>
      <w:bookmarkEnd w:id="16"/>
      <w:bookmarkEnd w:id="17"/>
      <w:bookmarkEnd w:id="18"/>
    </w:p>
    <w:p>
      <w:pPr>
        <w:wordWrap w:val="0"/>
        <w:adjustRightInd w:val="0"/>
        <w:snapToGrid w:val="0"/>
        <w:spacing w:line="360" w:lineRule="auto"/>
        <w:jc w:val="right"/>
        <w:rPr>
          <w:rFonts w:ascii="仿宋_GB2312" w:hAnsi="仿宋_GB2312" w:eastAsia="仿宋_GB2312" w:cs="仿宋_GB2312"/>
          <w:color w:val="auto"/>
          <w:szCs w:val="21"/>
        </w:rPr>
      </w:pPr>
      <w:r>
        <w:rPr>
          <w:rFonts w:hint="eastAsia" w:ascii="仿宋_GB2312" w:hAnsi="仿宋_GB2312" w:eastAsia="仿宋_GB2312" w:cs="仿宋_GB2312"/>
          <w:color w:val="auto"/>
          <w:szCs w:val="21"/>
        </w:rPr>
        <w:br w:type="page"/>
      </w:r>
    </w:p>
    <w:p>
      <w:pPr>
        <w:pStyle w:val="3"/>
        <w:adjustRightInd w:val="0"/>
        <w:snapToGrid w:val="0"/>
        <w:spacing w:line="240" w:lineRule="auto"/>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pPr>
        <w:pStyle w:val="3"/>
        <w:adjustRightInd w:val="0"/>
        <w:snapToGrid w:val="0"/>
        <w:spacing w:line="240" w:lineRule="auto"/>
        <w:jc w:val="left"/>
        <w:rPr>
          <w:rFonts w:ascii="仿宋_GB2312" w:hAnsi="仿宋_GB2312" w:eastAsia="仿宋_GB2312" w:cs="仿宋_GB2312"/>
          <w:color w:val="auto"/>
          <w:sz w:val="28"/>
          <w:szCs w:val="28"/>
        </w:rPr>
      </w:pPr>
    </w:p>
    <w:p>
      <w:pPr>
        <w:pStyle w:val="3"/>
        <w:adjustRightInd w:val="0"/>
        <w:snapToGrid w:val="0"/>
        <w:spacing w:line="240" w:lineRule="auto"/>
        <w:jc w:val="left"/>
        <w:rPr>
          <w:rFonts w:ascii="仿宋_GB2312" w:hAnsi="仿宋_GB2312" w:eastAsia="仿宋_GB2312" w:cs="仿宋_GB2312"/>
          <w:color w:val="auto"/>
          <w:sz w:val="28"/>
          <w:szCs w:val="28"/>
        </w:rPr>
      </w:pPr>
    </w:p>
    <w:p>
      <w:pPr>
        <w:pStyle w:val="3"/>
        <w:adjustRightInd w:val="0"/>
        <w:snapToGrid w:val="0"/>
        <w:spacing w:line="240" w:lineRule="auto"/>
        <w:jc w:val="left"/>
        <w:rPr>
          <w:rFonts w:ascii="仿宋_GB2312" w:hAnsi="仿宋_GB2312" w:eastAsia="仿宋_GB2312" w:cs="仿宋_GB2312"/>
          <w:color w:val="auto"/>
          <w:sz w:val="28"/>
          <w:szCs w:val="28"/>
        </w:rPr>
      </w:pPr>
    </w:p>
    <w:p>
      <w:pPr>
        <w:pStyle w:val="3"/>
        <w:adjustRightInd w:val="0"/>
        <w:snapToGrid w:val="0"/>
        <w:spacing w:line="240" w:lineRule="auto"/>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pPr>
        <w:spacing w:before="319" w:beforeLines="100" w:after="319" w:afterLines="100" w:line="480" w:lineRule="exact"/>
        <w:jc w:val="center"/>
        <w:rPr>
          <w:rFonts w:ascii="仿宋_GB2312" w:hAnsi="仿宋_GB2312" w:eastAsia="仿宋_GB2312" w:cs="仿宋_GB2312"/>
          <w:b/>
          <w:color w:val="auto"/>
          <w:sz w:val="44"/>
          <w:szCs w:val="44"/>
        </w:rPr>
      </w:pPr>
      <w:r>
        <w:rPr>
          <w:rFonts w:hint="eastAsia" w:ascii="仿宋_GB2312" w:hAnsi="仿宋_GB2312" w:eastAsia="仿宋_GB2312" w:cs="仿宋_GB2312"/>
          <w:b/>
          <w:color w:val="auto"/>
          <w:sz w:val="44"/>
          <w:szCs w:val="44"/>
          <w:u w:val="none"/>
          <w:lang w:eastAsia="zh-CN"/>
        </w:rPr>
        <w:t>人力资源管理咨询服务</w:t>
      </w:r>
      <w:r>
        <w:rPr>
          <w:rFonts w:hint="eastAsia" w:ascii="仿宋_GB2312" w:hAnsi="仿宋_GB2312" w:eastAsia="仿宋_GB2312" w:cs="仿宋_GB2312"/>
          <w:b/>
          <w:color w:val="auto"/>
          <w:sz w:val="44"/>
          <w:szCs w:val="44"/>
        </w:rPr>
        <w:t>合同</w:t>
      </w:r>
    </w:p>
    <w:p>
      <w:pPr>
        <w:pStyle w:val="24"/>
        <w:rPr>
          <w:rFonts w:ascii="仿宋_GB2312" w:hAnsi="仿宋_GB2312" w:eastAsia="仿宋_GB2312" w:cs="仿宋_GB2312"/>
          <w:b/>
          <w:color w:val="auto"/>
          <w:sz w:val="44"/>
          <w:szCs w:val="44"/>
        </w:rPr>
      </w:pPr>
    </w:p>
    <w:p>
      <w:pPr>
        <w:pStyle w:val="25"/>
        <w:ind w:firstLine="883"/>
        <w:rPr>
          <w:rFonts w:ascii="仿宋_GB2312" w:hAnsi="仿宋_GB2312" w:eastAsia="仿宋_GB2312" w:cs="仿宋_GB2312"/>
          <w:b/>
          <w:color w:val="auto"/>
          <w:sz w:val="44"/>
          <w:szCs w:val="44"/>
        </w:rPr>
      </w:pPr>
    </w:p>
    <w:p>
      <w:pPr>
        <w:pStyle w:val="25"/>
        <w:ind w:firstLine="883"/>
        <w:rPr>
          <w:rFonts w:ascii="仿宋_GB2312" w:hAnsi="仿宋_GB2312" w:eastAsia="仿宋_GB2312" w:cs="仿宋_GB2312"/>
          <w:b/>
          <w:color w:val="auto"/>
          <w:sz w:val="44"/>
          <w:szCs w:val="44"/>
        </w:rPr>
      </w:pPr>
    </w:p>
    <w:p>
      <w:pPr>
        <w:pStyle w:val="25"/>
        <w:ind w:firstLine="0" w:firstLineChars="0"/>
        <w:rPr>
          <w:rFonts w:ascii="仿宋_GB2312" w:hAnsi="仿宋_GB2312" w:eastAsia="仿宋_GB2312" w:cs="仿宋_GB2312"/>
          <w:b/>
          <w:color w:val="auto"/>
          <w:sz w:val="44"/>
          <w:szCs w:val="44"/>
        </w:rPr>
      </w:pPr>
    </w:p>
    <w:p>
      <w:pPr>
        <w:pStyle w:val="25"/>
        <w:ind w:firstLine="883"/>
        <w:rPr>
          <w:rFonts w:ascii="仿宋_GB2312" w:hAnsi="仿宋_GB2312" w:eastAsia="仿宋_GB2312" w:cs="仿宋_GB2312"/>
          <w:b/>
          <w:color w:val="auto"/>
          <w:sz w:val="44"/>
          <w:szCs w:val="44"/>
        </w:rPr>
      </w:pPr>
    </w:p>
    <w:p>
      <w:pPr>
        <w:pStyle w:val="25"/>
        <w:ind w:firstLine="0" w:firstLineChars="0"/>
        <w:rPr>
          <w:rFonts w:ascii="仿宋_GB2312" w:hAnsi="仿宋_GB2312" w:eastAsia="仿宋_GB2312" w:cs="仿宋_GB2312"/>
          <w:b/>
          <w:color w:val="auto"/>
          <w:sz w:val="44"/>
          <w:szCs w:val="44"/>
        </w:rPr>
      </w:pPr>
    </w:p>
    <w:p>
      <w:pPr>
        <w:tabs>
          <w:tab w:val="left" w:pos="1605"/>
          <w:tab w:val="center" w:pos="4819"/>
        </w:tabs>
        <w:adjustRightInd w:val="0"/>
        <w:snapToGrid w:val="0"/>
        <w:spacing w:line="360" w:lineRule="auto"/>
        <w:rPr>
          <w:rFonts w:ascii="仿宋" w:hAnsi="仿宋" w:eastAsia="仿宋" w:cs="仿宋"/>
          <w:b/>
          <w:bCs/>
          <w:color w:val="auto"/>
          <w:sz w:val="32"/>
          <w:szCs w:val="32"/>
          <w:u w:val="single"/>
        </w:rPr>
      </w:pPr>
      <w:r>
        <w:rPr>
          <w:rFonts w:hint="eastAsia" w:ascii="仿宋" w:hAnsi="仿宋" w:eastAsia="仿宋" w:cs="仿宋"/>
          <w:b/>
          <w:bCs/>
          <w:color w:val="auto"/>
          <w:sz w:val="32"/>
          <w:szCs w:val="32"/>
        </w:rPr>
        <w:t>委托方：</w:t>
      </w:r>
      <w:r>
        <w:rPr>
          <w:rFonts w:hint="eastAsia" w:ascii="仿宋" w:hAnsi="仿宋" w:eastAsia="仿宋" w:cs="仿宋"/>
          <w:b/>
          <w:bCs/>
          <w:color w:val="auto"/>
          <w:sz w:val="32"/>
          <w:szCs w:val="32"/>
          <w:u w:val="single"/>
        </w:rPr>
        <w:t xml:space="preserve">                                        </w:t>
      </w:r>
    </w:p>
    <w:p>
      <w:pPr>
        <w:tabs>
          <w:tab w:val="left" w:pos="1605"/>
          <w:tab w:val="center" w:pos="4819"/>
        </w:tabs>
        <w:adjustRightInd w:val="0"/>
        <w:snapToGrid w:val="0"/>
        <w:spacing w:line="360" w:lineRule="auto"/>
        <w:rPr>
          <w:rFonts w:ascii="仿宋" w:hAnsi="仿宋" w:eastAsia="仿宋" w:cs="仿宋"/>
          <w:b/>
          <w:bCs/>
          <w:color w:val="auto"/>
          <w:sz w:val="32"/>
          <w:szCs w:val="32"/>
          <w:u w:val="single"/>
        </w:rPr>
      </w:pPr>
      <w:r>
        <w:rPr>
          <w:rFonts w:hint="eastAsia" w:ascii="仿宋" w:hAnsi="仿宋" w:eastAsia="仿宋" w:cs="仿宋"/>
          <w:b/>
          <w:bCs/>
          <w:color w:val="auto"/>
          <w:sz w:val="32"/>
          <w:szCs w:val="32"/>
        </w:rPr>
        <w:t>受托方：</w:t>
      </w:r>
      <w:r>
        <w:rPr>
          <w:rFonts w:hint="eastAsia" w:ascii="仿宋" w:hAnsi="仿宋" w:eastAsia="仿宋" w:cs="仿宋"/>
          <w:b/>
          <w:bCs/>
          <w:color w:val="auto"/>
          <w:sz w:val="32"/>
          <w:szCs w:val="32"/>
          <w:u w:val="single"/>
        </w:rPr>
        <w:t xml:space="preserve">                                        </w:t>
      </w:r>
    </w:p>
    <w:p>
      <w:pPr>
        <w:tabs>
          <w:tab w:val="left" w:pos="1605"/>
          <w:tab w:val="center" w:pos="4819"/>
        </w:tabs>
        <w:adjustRightInd w:val="0"/>
        <w:snapToGrid w:val="0"/>
        <w:spacing w:line="360" w:lineRule="auto"/>
        <w:rPr>
          <w:rFonts w:ascii="仿宋" w:hAnsi="仿宋" w:eastAsia="仿宋" w:cs="仿宋"/>
          <w:b/>
          <w:bCs/>
          <w:color w:val="auto"/>
          <w:sz w:val="32"/>
          <w:szCs w:val="32"/>
          <w:u w:val="single"/>
        </w:rPr>
      </w:pPr>
      <w:r>
        <w:rPr>
          <w:rFonts w:hint="eastAsia" w:ascii="仿宋" w:hAnsi="仿宋" w:eastAsia="仿宋" w:cs="仿宋"/>
          <w:b/>
          <w:bCs/>
          <w:color w:val="auto"/>
          <w:sz w:val="32"/>
          <w:szCs w:val="32"/>
        </w:rPr>
        <w:t>合同编号：</w:t>
      </w:r>
      <w:r>
        <w:rPr>
          <w:rFonts w:hint="eastAsia" w:ascii="仿宋" w:hAnsi="仿宋" w:eastAsia="仿宋" w:cs="仿宋"/>
          <w:b/>
          <w:bCs/>
          <w:color w:val="auto"/>
          <w:sz w:val="32"/>
          <w:szCs w:val="32"/>
          <w:u w:val="single"/>
        </w:rPr>
        <w:t xml:space="preserve">                                      </w:t>
      </w:r>
    </w:p>
    <w:p>
      <w:pPr>
        <w:tabs>
          <w:tab w:val="left" w:pos="1605"/>
          <w:tab w:val="center" w:pos="4819"/>
        </w:tabs>
        <w:adjustRightInd w:val="0"/>
        <w:snapToGrid w:val="0"/>
        <w:spacing w:line="360" w:lineRule="auto"/>
        <w:rPr>
          <w:rFonts w:ascii="仿宋" w:hAnsi="仿宋" w:eastAsia="仿宋" w:cs="仿宋"/>
          <w:b/>
          <w:bCs/>
          <w:color w:val="auto"/>
          <w:sz w:val="32"/>
          <w:szCs w:val="32"/>
          <w:u w:val="single"/>
        </w:rPr>
      </w:pPr>
    </w:p>
    <w:p>
      <w:pPr>
        <w:pStyle w:val="24"/>
        <w:rPr>
          <w:color w:val="auto"/>
        </w:rPr>
      </w:pPr>
    </w:p>
    <w:p>
      <w:pPr>
        <w:tabs>
          <w:tab w:val="left" w:pos="1605"/>
          <w:tab w:val="center" w:pos="4819"/>
        </w:tabs>
        <w:adjustRightInd w:val="0"/>
        <w:snapToGrid w:val="0"/>
        <w:spacing w:line="360" w:lineRule="auto"/>
        <w:jc w:val="center"/>
        <w:rPr>
          <w:rFonts w:ascii="仿宋" w:hAnsi="仿宋" w:eastAsia="仿宋" w:cs="仿宋"/>
          <w:b/>
          <w:bCs/>
          <w:color w:val="auto"/>
          <w:sz w:val="32"/>
          <w:szCs w:val="32"/>
          <w:u w:val="single"/>
        </w:rPr>
      </w:pPr>
      <w:r>
        <w:rPr>
          <w:rFonts w:hint="eastAsia" w:ascii="仿宋" w:hAnsi="仿宋" w:eastAsia="仿宋" w:cs="仿宋"/>
          <w:b/>
          <w:bCs/>
          <w:color w:val="auto"/>
          <w:sz w:val="32"/>
          <w:szCs w:val="32"/>
          <w:u w:val="single"/>
        </w:rPr>
        <w:t xml:space="preserve">     </w:t>
      </w:r>
      <w:r>
        <w:rPr>
          <w:rFonts w:hint="eastAsia" w:ascii="仿宋" w:hAnsi="仿宋" w:eastAsia="仿宋" w:cs="仿宋"/>
          <w:b/>
          <w:bCs/>
          <w:color w:val="auto"/>
          <w:sz w:val="32"/>
          <w:szCs w:val="32"/>
        </w:rPr>
        <w:t>年</w:t>
      </w:r>
      <w:r>
        <w:rPr>
          <w:rFonts w:hint="eastAsia" w:ascii="仿宋" w:hAnsi="仿宋" w:eastAsia="仿宋" w:cs="仿宋"/>
          <w:b/>
          <w:bCs/>
          <w:color w:val="auto"/>
          <w:sz w:val="32"/>
          <w:szCs w:val="32"/>
          <w:u w:val="single"/>
        </w:rPr>
        <w:t xml:space="preserve">    </w:t>
      </w:r>
      <w:r>
        <w:rPr>
          <w:rFonts w:hint="eastAsia" w:ascii="仿宋" w:hAnsi="仿宋" w:eastAsia="仿宋" w:cs="仿宋"/>
          <w:b/>
          <w:bCs/>
          <w:color w:val="auto"/>
          <w:sz w:val="32"/>
          <w:szCs w:val="32"/>
        </w:rPr>
        <w:t>月</w:t>
      </w:r>
    </w:p>
    <w:p>
      <w:pPr>
        <w:pStyle w:val="24"/>
        <w:ind w:firstLine="0"/>
        <w:rPr>
          <w:color w:val="auto"/>
        </w:rPr>
      </w:pPr>
    </w:p>
    <w:p>
      <w:pPr>
        <w:pStyle w:val="25"/>
        <w:rPr>
          <w:color w:val="auto"/>
        </w:rPr>
      </w:pPr>
    </w:p>
    <w:p>
      <w:pPr>
        <w:pStyle w:val="25"/>
        <w:rPr>
          <w:color w:val="auto"/>
        </w:rPr>
      </w:pPr>
    </w:p>
    <w:p>
      <w:pPr>
        <w:pStyle w:val="25"/>
        <w:rPr>
          <w:color w:val="auto"/>
        </w:rPr>
      </w:pPr>
    </w:p>
    <w:p>
      <w:pPr>
        <w:pStyle w:val="25"/>
        <w:rPr>
          <w:color w:val="auto"/>
        </w:rPr>
      </w:pPr>
    </w:p>
    <w:p>
      <w:pPr>
        <w:pStyle w:val="25"/>
        <w:rPr>
          <w:color w:val="auto"/>
        </w:rPr>
      </w:pPr>
    </w:p>
    <w:p>
      <w:pPr>
        <w:tabs>
          <w:tab w:val="left" w:pos="1605"/>
          <w:tab w:val="center" w:pos="4819"/>
        </w:tabs>
        <w:adjustRightInd w:val="0"/>
        <w:snapToGrid w:val="0"/>
        <w:spacing w:line="360" w:lineRule="auto"/>
        <w:jc w:val="center"/>
        <w:rPr>
          <w:rFonts w:ascii="仿宋" w:hAnsi="仿宋" w:eastAsia="仿宋" w:cs="仿宋"/>
          <w:b/>
          <w:bCs/>
          <w:color w:val="auto"/>
          <w:sz w:val="36"/>
          <w:szCs w:val="36"/>
        </w:rPr>
      </w:pPr>
      <w:r>
        <w:rPr>
          <w:rFonts w:hint="eastAsia" w:ascii="仿宋" w:hAnsi="仿宋" w:eastAsia="仿宋" w:cs="仿宋"/>
          <w:b/>
          <w:bCs/>
          <w:color w:val="auto"/>
          <w:sz w:val="36"/>
          <w:szCs w:val="36"/>
          <w:u w:val="none"/>
          <w:lang w:eastAsia="zh-CN"/>
        </w:rPr>
        <w:t>人力资源管理咨询服务</w:t>
      </w:r>
      <w:r>
        <w:rPr>
          <w:rFonts w:hint="eastAsia" w:ascii="仿宋" w:hAnsi="仿宋" w:eastAsia="仿宋" w:cs="仿宋"/>
          <w:b/>
          <w:bCs/>
          <w:color w:val="auto"/>
          <w:sz w:val="36"/>
          <w:szCs w:val="36"/>
        </w:rPr>
        <w:t>合同</w:t>
      </w:r>
    </w:p>
    <w:p>
      <w:pPr>
        <w:tabs>
          <w:tab w:val="left" w:pos="1080"/>
        </w:tabs>
        <w:wordWrap w:val="0"/>
        <w:adjustRightInd w:val="0"/>
        <w:snapToGrid w:val="0"/>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               </w:t>
      </w:r>
    </w:p>
    <w:p>
      <w:pPr>
        <w:tabs>
          <w:tab w:val="left" w:pos="1080"/>
        </w:tabs>
        <w:adjustRightInd w:val="0"/>
        <w:snapToGrid w:val="0"/>
        <w:spacing w:line="360" w:lineRule="auto"/>
        <w:rPr>
          <w:rFonts w:ascii="仿宋" w:hAnsi="仿宋" w:eastAsia="仿宋" w:cs="仿宋"/>
          <w:b/>
          <w:bCs/>
          <w:color w:val="auto"/>
          <w:kern w:val="24"/>
          <w:sz w:val="28"/>
          <w:szCs w:val="28"/>
          <w:u w:val="single"/>
          <w:shd w:val="pct10" w:color="auto" w:fill="FFFFFF"/>
        </w:rPr>
      </w:pPr>
      <w:r>
        <w:rPr>
          <w:rFonts w:hint="eastAsia" w:ascii="仿宋_GB2312" w:hAnsi="仿宋_GB2312" w:eastAsia="仿宋_GB2312" w:cs="仿宋_GB2312"/>
          <w:color w:val="auto"/>
          <w:szCs w:val="21"/>
        </w:rPr>
        <w:t>甲方（</w:t>
      </w:r>
      <w:r>
        <w:rPr>
          <w:rFonts w:hint="eastAsia" w:ascii="仿宋_GB2312" w:hAnsi="仿宋_GB2312" w:eastAsia="仿宋_GB2312" w:cs="仿宋_GB2312"/>
          <w:color w:val="auto"/>
          <w:szCs w:val="21"/>
          <w:lang w:val="en-US" w:eastAsia="zh-CN"/>
        </w:rPr>
        <w:t>委托</w:t>
      </w:r>
      <w:r>
        <w:rPr>
          <w:rFonts w:hint="eastAsia" w:ascii="仿宋_GB2312" w:hAnsi="仿宋_GB2312" w:eastAsia="仿宋_GB2312" w:cs="仿宋_GB2312"/>
          <w:color w:val="auto"/>
          <w:szCs w:val="21"/>
        </w:rPr>
        <w:t>人）：</w:t>
      </w:r>
      <w:r>
        <w:rPr>
          <w:rFonts w:hint="eastAsia" w:ascii="仿宋" w:hAnsi="仿宋" w:eastAsia="仿宋" w:cs="仿宋"/>
          <w:b/>
          <w:bCs/>
          <w:color w:val="auto"/>
          <w:kern w:val="24"/>
          <w:sz w:val="28"/>
          <w:szCs w:val="28"/>
          <w:u w:val="single"/>
        </w:rPr>
        <w:t xml:space="preserve">                                                 </w:t>
      </w:r>
      <w:r>
        <w:rPr>
          <w:rFonts w:hint="eastAsia" w:ascii="仿宋" w:hAnsi="仿宋" w:eastAsia="仿宋" w:cs="仿宋"/>
          <w:b/>
          <w:bCs/>
          <w:color w:val="auto"/>
          <w:kern w:val="24"/>
          <w:sz w:val="28"/>
          <w:szCs w:val="28"/>
          <w:u w:val="single"/>
          <w:shd w:val="pct10" w:color="auto" w:fill="FFFFFF"/>
        </w:rPr>
        <w:t xml:space="preserve">  </w:t>
      </w:r>
    </w:p>
    <w:p>
      <w:pPr>
        <w:tabs>
          <w:tab w:val="left" w:pos="1080"/>
        </w:tabs>
        <w:adjustRightInd w:val="0"/>
        <w:snapToGrid w:val="0"/>
        <w:spacing w:line="360" w:lineRule="auto"/>
        <w:rPr>
          <w:rFonts w:ascii="仿宋" w:hAnsi="仿宋" w:eastAsia="仿宋" w:cs="仿宋"/>
          <w:b/>
          <w:bCs/>
          <w:color w:val="auto"/>
          <w:kern w:val="24"/>
          <w:sz w:val="28"/>
          <w:szCs w:val="28"/>
        </w:rPr>
      </w:pPr>
      <w:r>
        <w:rPr>
          <w:rFonts w:hint="eastAsia" w:ascii="仿宋_GB2312" w:hAnsi="仿宋_GB2312" w:eastAsia="仿宋_GB2312" w:cs="仿宋_GB2312"/>
          <w:color w:val="auto"/>
          <w:szCs w:val="21"/>
        </w:rPr>
        <w:t>统一社会征信代码：</w:t>
      </w:r>
      <w:r>
        <w:rPr>
          <w:rFonts w:hint="eastAsia" w:ascii="仿宋" w:hAnsi="仿宋" w:eastAsia="仿宋" w:cs="仿宋"/>
          <w:b/>
          <w:bCs/>
          <w:color w:val="auto"/>
          <w:kern w:val="24"/>
          <w:sz w:val="28"/>
          <w:szCs w:val="28"/>
          <w:u w:val="single"/>
        </w:rPr>
        <w:t xml:space="preserve">                                               </w:t>
      </w:r>
    </w:p>
    <w:p>
      <w:pPr>
        <w:tabs>
          <w:tab w:val="left" w:pos="1080"/>
        </w:tabs>
        <w:adjustRightInd w:val="0"/>
        <w:snapToGrid w:val="0"/>
        <w:spacing w:line="360" w:lineRule="auto"/>
        <w:rPr>
          <w:rFonts w:ascii="仿宋" w:hAnsi="仿宋" w:eastAsia="仿宋" w:cs="仿宋"/>
          <w:b/>
          <w:bCs/>
          <w:color w:val="auto"/>
          <w:kern w:val="24"/>
          <w:sz w:val="28"/>
          <w:szCs w:val="28"/>
        </w:rPr>
      </w:pPr>
      <w:r>
        <w:rPr>
          <w:rFonts w:hint="eastAsia" w:ascii="仿宋_GB2312" w:hAnsi="仿宋_GB2312" w:eastAsia="仿宋_GB2312" w:cs="仿宋_GB2312"/>
          <w:color w:val="auto"/>
          <w:szCs w:val="21"/>
        </w:rPr>
        <w:t>法定代表人：</w:t>
      </w:r>
      <w:r>
        <w:rPr>
          <w:rFonts w:hint="eastAsia" w:ascii="仿宋" w:hAnsi="仿宋" w:eastAsia="仿宋" w:cs="仿宋"/>
          <w:b/>
          <w:bCs/>
          <w:color w:val="auto"/>
          <w:kern w:val="24"/>
          <w:sz w:val="28"/>
          <w:szCs w:val="28"/>
          <w:u w:val="single"/>
        </w:rPr>
        <w:t xml:space="preserve">                                                     </w:t>
      </w:r>
    </w:p>
    <w:p>
      <w:pPr>
        <w:tabs>
          <w:tab w:val="left" w:pos="1080"/>
        </w:tabs>
        <w:adjustRightInd w:val="0"/>
        <w:snapToGrid w:val="0"/>
        <w:spacing w:line="360" w:lineRule="auto"/>
        <w:rPr>
          <w:rFonts w:ascii="仿宋" w:hAnsi="仿宋" w:eastAsia="仿宋" w:cs="仿宋"/>
          <w:b/>
          <w:bCs/>
          <w:color w:val="auto"/>
          <w:kern w:val="24"/>
          <w:sz w:val="28"/>
          <w:szCs w:val="28"/>
        </w:rPr>
      </w:pPr>
      <w:r>
        <w:rPr>
          <w:rFonts w:hint="eastAsia" w:ascii="仿宋_GB2312" w:hAnsi="仿宋_GB2312" w:eastAsia="仿宋_GB2312" w:cs="仿宋_GB2312"/>
          <w:color w:val="auto"/>
          <w:szCs w:val="21"/>
        </w:rPr>
        <w:t>联系地址：</w:t>
      </w:r>
      <w:r>
        <w:rPr>
          <w:rFonts w:hint="eastAsia" w:ascii="仿宋" w:hAnsi="仿宋" w:eastAsia="仿宋" w:cs="仿宋"/>
          <w:b/>
          <w:bCs/>
          <w:color w:val="auto"/>
          <w:kern w:val="24"/>
          <w:sz w:val="28"/>
          <w:szCs w:val="28"/>
          <w:u w:val="single"/>
        </w:rPr>
        <w:t xml:space="preserve">                                                           </w:t>
      </w:r>
    </w:p>
    <w:p>
      <w:pPr>
        <w:tabs>
          <w:tab w:val="left" w:pos="1080"/>
        </w:tabs>
        <w:adjustRightInd w:val="0"/>
        <w:snapToGrid w:val="0"/>
        <w:spacing w:line="360" w:lineRule="auto"/>
        <w:rPr>
          <w:rFonts w:ascii="仿宋" w:hAnsi="仿宋" w:eastAsia="仿宋" w:cs="仿宋"/>
          <w:b/>
          <w:bCs/>
          <w:color w:val="auto"/>
          <w:kern w:val="24"/>
          <w:sz w:val="28"/>
          <w:szCs w:val="28"/>
        </w:rPr>
      </w:pPr>
    </w:p>
    <w:p>
      <w:pPr>
        <w:tabs>
          <w:tab w:val="left" w:pos="1080"/>
        </w:tabs>
        <w:adjustRightInd w:val="0"/>
        <w:snapToGrid w:val="0"/>
        <w:spacing w:line="360" w:lineRule="auto"/>
        <w:rPr>
          <w:rFonts w:ascii="仿宋" w:hAnsi="仿宋" w:eastAsia="仿宋" w:cs="仿宋"/>
          <w:b/>
          <w:bCs/>
          <w:color w:val="auto"/>
          <w:kern w:val="24"/>
          <w:sz w:val="28"/>
          <w:szCs w:val="28"/>
          <w:u w:val="single"/>
        </w:rPr>
      </w:pPr>
      <w:r>
        <w:rPr>
          <w:rFonts w:hint="eastAsia" w:ascii="仿宋_GB2312" w:hAnsi="仿宋_GB2312" w:eastAsia="仿宋_GB2312" w:cs="仿宋_GB2312"/>
          <w:color w:val="auto"/>
          <w:szCs w:val="21"/>
        </w:rPr>
        <w:t>乙方（</w:t>
      </w:r>
      <w:r>
        <w:rPr>
          <w:rFonts w:hint="eastAsia" w:ascii="仿宋_GB2312" w:hAnsi="仿宋_GB2312" w:eastAsia="仿宋_GB2312" w:cs="仿宋_GB2312"/>
          <w:color w:val="auto"/>
          <w:szCs w:val="21"/>
          <w:lang w:val="en-US" w:eastAsia="zh-CN"/>
        </w:rPr>
        <w:t>受托</w:t>
      </w:r>
      <w:r>
        <w:rPr>
          <w:rFonts w:hint="eastAsia" w:ascii="仿宋_GB2312" w:hAnsi="仿宋_GB2312" w:eastAsia="仿宋_GB2312" w:cs="仿宋_GB2312"/>
          <w:color w:val="auto"/>
          <w:szCs w:val="21"/>
        </w:rPr>
        <w:t>人）：</w:t>
      </w:r>
      <w:r>
        <w:rPr>
          <w:rFonts w:hint="eastAsia" w:ascii="仿宋" w:hAnsi="仿宋" w:eastAsia="仿宋" w:cs="仿宋"/>
          <w:b/>
          <w:bCs/>
          <w:color w:val="auto"/>
          <w:kern w:val="24"/>
          <w:sz w:val="28"/>
          <w:szCs w:val="28"/>
          <w:u w:val="single"/>
        </w:rPr>
        <w:t xml:space="preserve">                                                  </w:t>
      </w:r>
    </w:p>
    <w:p>
      <w:pPr>
        <w:tabs>
          <w:tab w:val="left" w:pos="1080"/>
        </w:tabs>
        <w:adjustRightInd w:val="0"/>
        <w:snapToGrid w:val="0"/>
        <w:spacing w:line="360" w:lineRule="auto"/>
        <w:rPr>
          <w:rFonts w:ascii="仿宋" w:hAnsi="仿宋" w:eastAsia="仿宋" w:cs="仿宋"/>
          <w:b/>
          <w:bCs/>
          <w:color w:val="auto"/>
          <w:kern w:val="24"/>
          <w:sz w:val="28"/>
          <w:szCs w:val="28"/>
        </w:rPr>
      </w:pPr>
      <w:r>
        <w:rPr>
          <w:rFonts w:hint="eastAsia" w:ascii="仿宋_GB2312" w:hAnsi="仿宋_GB2312" w:eastAsia="仿宋_GB2312" w:cs="仿宋_GB2312"/>
          <w:color w:val="auto"/>
          <w:szCs w:val="21"/>
        </w:rPr>
        <w:t>统一社会征信代码：</w:t>
      </w:r>
      <w:r>
        <w:rPr>
          <w:rFonts w:hint="eastAsia" w:ascii="仿宋" w:hAnsi="仿宋" w:eastAsia="仿宋" w:cs="仿宋"/>
          <w:b/>
          <w:bCs/>
          <w:color w:val="auto"/>
          <w:kern w:val="24"/>
          <w:sz w:val="28"/>
          <w:szCs w:val="28"/>
          <w:u w:val="single"/>
        </w:rPr>
        <w:t xml:space="preserve">                                          </w:t>
      </w:r>
    </w:p>
    <w:p>
      <w:pPr>
        <w:tabs>
          <w:tab w:val="left" w:pos="1080"/>
        </w:tabs>
        <w:adjustRightInd w:val="0"/>
        <w:snapToGrid w:val="0"/>
        <w:spacing w:line="360" w:lineRule="auto"/>
        <w:rPr>
          <w:rFonts w:ascii="仿宋" w:hAnsi="仿宋" w:eastAsia="仿宋" w:cs="仿宋"/>
          <w:b/>
          <w:bCs/>
          <w:color w:val="auto"/>
          <w:kern w:val="24"/>
          <w:sz w:val="28"/>
          <w:szCs w:val="28"/>
        </w:rPr>
      </w:pPr>
      <w:r>
        <w:rPr>
          <w:rFonts w:hint="eastAsia" w:ascii="仿宋_GB2312" w:hAnsi="仿宋_GB2312" w:eastAsia="仿宋_GB2312" w:cs="仿宋_GB2312"/>
          <w:color w:val="auto"/>
          <w:szCs w:val="21"/>
        </w:rPr>
        <w:t>法定代表人：</w:t>
      </w:r>
      <w:r>
        <w:rPr>
          <w:rFonts w:hint="eastAsia" w:ascii="仿宋" w:hAnsi="仿宋" w:eastAsia="仿宋" w:cs="仿宋"/>
          <w:b/>
          <w:bCs/>
          <w:color w:val="auto"/>
          <w:kern w:val="24"/>
          <w:sz w:val="28"/>
          <w:szCs w:val="28"/>
          <w:u w:val="single"/>
        </w:rPr>
        <w:t xml:space="preserve">                                                     </w:t>
      </w:r>
    </w:p>
    <w:p>
      <w:pPr>
        <w:pStyle w:val="25"/>
        <w:ind w:firstLine="0" w:firstLineChars="0"/>
        <w:rPr>
          <w:color w:val="auto"/>
        </w:rPr>
      </w:pPr>
      <w:r>
        <w:rPr>
          <w:rFonts w:hint="eastAsia" w:ascii="仿宋_GB2312" w:hAnsi="仿宋_GB2312" w:eastAsia="仿宋_GB2312" w:cs="仿宋_GB2312"/>
          <w:color w:val="auto"/>
          <w:szCs w:val="21"/>
        </w:rPr>
        <w:t>联系地址：</w:t>
      </w:r>
      <w:r>
        <w:rPr>
          <w:rFonts w:hint="eastAsia" w:ascii="仿宋" w:hAnsi="仿宋" w:eastAsia="仿宋" w:cs="仿宋"/>
          <w:b/>
          <w:bCs/>
          <w:color w:val="auto"/>
          <w:kern w:val="24"/>
          <w:sz w:val="28"/>
          <w:szCs w:val="28"/>
          <w:u w:val="single"/>
        </w:rPr>
        <w:t xml:space="preserve">                                                   </w:t>
      </w:r>
    </w:p>
    <w:p>
      <w:pPr>
        <w:adjustRightInd w:val="0"/>
        <w:snapToGrid w:val="0"/>
        <w:spacing w:line="360" w:lineRule="auto"/>
        <w:ind w:firstLine="640"/>
        <w:jc w:val="left"/>
        <w:rPr>
          <w:rFonts w:ascii="仿宋_GB2312" w:hAnsi="仿宋_GB2312" w:eastAsia="仿宋_GB2312" w:cs="仿宋_GB2312"/>
          <w:color w:val="auto"/>
          <w:szCs w:val="21"/>
          <w:u w:val="single"/>
        </w:rPr>
      </w:pPr>
    </w:p>
    <w:p>
      <w:pPr>
        <w:pStyle w:val="24"/>
        <w:rPr>
          <w:color w:val="auto"/>
        </w:rPr>
      </w:pPr>
    </w:p>
    <w:p>
      <w:pPr>
        <w:adjustRightInd w:val="0"/>
        <w:snapToGrid w:val="0"/>
        <w:spacing w:line="360" w:lineRule="auto"/>
        <w:ind w:firstLine="64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u w:val="single"/>
        </w:rPr>
        <w:t xml:space="preserve">    (招标人名称</w:t>
      </w:r>
      <w:r>
        <w:rPr>
          <w:rFonts w:hint="eastAsia" w:ascii="仿宋_GB2312" w:hAnsi="仿宋_GB2312" w:eastAsia="仿宋_GB2312" w:cs="仿宋_GB2312"/>
          <w:color w:val="auto"/>
          <w:szCs w:val="21"/>
        </w:rPr>
        <w:t>) （以下简称</w:t>
      </w:r>
      <w:r>
        <w:rPr>
          <w:rFonts w:hint="eastAsia" w:ascii="仿宋_GB2312" w:hAnsi="仿宋_GB2312" w:eastAsia="仿宋_GB2312" w:cs="仿宋_GB2312"/>
          <w:color w:val="auto"/>
          <w:szCs w:val="21"/>
          <w:lang w:val="en-US" w:eastAsia="zh-CN"/>
        </w:rPr>
        <w:t>甲方</w:t>
      </w:r>
      <w:r>
        <w:rPr>
          <w:rFonts w:hint="eastAsia" w:ascii="仿宋_GB2312" w:hAnsi="仿宋_GB2312" w:eastAsia="仿宋_GB2312" w:cs="仿宋_GB2312"/>
          <w:color w:val="auto"/>
          <w:szCs w:val="21"/>
        </w:rPr>
        <w:t>）和</w:t>
      </w:r>
      <w:r>
        <w:rPr>
          <w:rFonts w:hint="eastAsia" w:ascii="仿宋_GB2312" w:hAnsi="仿宋_GB2312" w:eastAsia="仿宋_GB2312" w:cs="仿宋_GB2312"/>
          <w:color w:val="auto"/>
          <w:szCs w:val="21"/>
          <w:u w:val="single"/>
        </w:rPr>
        <w:t xml:space="preserve">   (中标人名称)    </w:t>
      </w:r>
      <w:r>
        <w:rPr>
          <w:rFonts w:hint="eastAsia" w:ascii="仿宋_GB2312" w:hAnsi="仿宋_GB2312" w:eastAsia="仿宋_GB2312" w:cs="仿宋_GB2312"/>
          <w:color w:val="auto"/>
          <w:szCs w:val="21"/>
        </w:rPr>
        <w:t xml:space="preserve"> （以下简称</w:t>
      </w:r>
      <w:r>
        <w:rPr>
          <w:rFonts w:hint="eastAsia" w:ascii="仿宋_GB2312" w:hAnsi="仿宋_GB2312" w:eastAsia="仿宋_GB2312" w:cs="仿宋_GB2312"/>
          <w:color w:val="auto"/>
          <w:szCs w:val="21"/>
          <w:lang w:val="en-US" w:eastAsia="zh-CN"/>
        </w:rPr>
        <w:t>乙方</w:t>
      </w:r>
      <w:r>
        <w:rPr>
          <w:rFonts w:hint="eastAsia" w:ascii="仿宋_GB2312" w:hAnsi="仿宋_GB2312" w:eastAsia="仿宋_GB2312" w:cs="仿宋_GB2312"/>
          <w:color w:val="auto"/>
          <w:szCs w:val="21"/>
        </w:rPr>
        <w:t>）根据《中华人民共和国民法典》和有关法律法规，遵循平等、自愿、公平和诚实信用原则，同意按照下面的条款和条件订立本合同，共同信守。</w:t>
      </w:r>
    </w:p>
    <w:p>
      <w:pPr>
        <w:adjustRightInd w:val="0"/>
        <w:snapToGrid w:val="0"/>
        <w:spacing w:line="360" w:lineRule="auto"/>
        <w:ind w:left="420" w:leftChars="200" w:firstLine="0" w:firstLineChars="0"/>
        <w:jc w:val="left"/>
        <w:rPr>
          <w:rFonts w:hint="eastAsia" w:ascii="仿宋_GB2312" w:hAnsi="仿宋_GB2312" w:eastAsia="仿宋_GB2312" w:cs="仿宋_GB2312"/>
          <w:color w:val="auto"/>
          <w:szCs w:val="21"/>
        </w:rPr>
      </w:pPr>
      <w:r>
        <w:rPr>
          <w:rFonts w:hint="eastAsia" w:ascii="仿宋_GB2312" w:hAnsi="仿宋_GB2312" w:eastAsia="仿宋_GB2312" w:cs="仿宋_GB2312"/>
          <w:b/>
          <w:color w:val="auto"/>
          <w:szCs w:val="21"/>
        </w:rPr>
        <w:t>一、</w:t>
      </w:r>
      <w:r>
        <w:rPr>
          <w:rFonts w:hint="eastAsia" w:ascii="仿宋_GB2312" w:hAnsi="仿宋_GB2312" w:eastAsia="仿宋_GB2312" w:cs="仿宋_GB2312"/>
          <w:b/>
          <w:color w:val="auto"/>
          <w:szCs w:val="21"/>
          <w:lang w:val="en-US" w:eastAsia="zh-CN"/>
        </w:rPr>
        <w:t>服务内容</w:t>
      </w:r>
      <w:r>
        <w:rPr>
          <w:rFonts w:hint="eastAsia" w:ascii="仿宋_GB2312" w:hAnsi="仿宋_GB2312" w:eastAsia="仿宋_GB2312" w:cs="仿宋_GB2312"/>
          <w:color w:val="auto"/>
          <w:szCs w:val="21"/>
          <w:lang w:val="en-US" w:eastAsia="zh-CN"/>
        </w:rPr>
        <w:t>1.乙方向甲方提供</w:t>
      </w:r>
      <w:r>
        <w:rPr>
          <w:rFonts w:hint="eastAsia" w:ascii="仿宋_GB2312" w:hAnsi="仿宋_GB2312" w:eastAsia="仿宋_GB2312" w:cs="仿宋_GB2312"/>
          <w:color w:val="auto"/>
          <w:szCs w:val="21"/>
        </w:rPr>
        <w:t>人力资源管理咨询服务，</w:t>
      </w:r>
      <w:r>
        <w:rPr>
          <w:rFonts w:hint="eastAsia" w:ascii="仿宋_GB2312" w:hAnsi="仿宋_GB2312" w:eastAsia="仿宋_GB2312" w:cs="仿宋_GB2312"/>
          <w:color w:val="auto"/>
          <w:szCs w:val="21"/>
          <w:lang w:val="en-US" w:eastAsia="zh-CN"/>
        </w:rPr>
        <w:t>具体工作内容与服务要求按第二条。</w:t>
      </w:r>
    </w:p>
    <w:p>
      <w:pPr>
        <w:adjustRightInd w:val="0"/>
        <w:snapToGrid w:val="0"/>
        <w:spacing w:line="360" w:lineRule="auto"/>
        <w:ind w:firstLine="420" w:firstLineChars="20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2.</w:t>
      </w:r>
      <w:r>
        <w:rPr>
          <w:rFonts w:hint="eastAsia" w:ascii="仿宋_GB2312" w:hAnsi="仿宋_GB2312" w:eastAsia="仿宋_GB2312" w:cs="仿宋_GB2312"/>
          <w:color w:val="auto"/>
          <w:szCs w:val="21"/>
        </w:rPr>
        <w:t>服务地点</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甲方</w:t>
      </w:r>
      <w:r>
        <w:rPr>
          <w:rFonts w:hint="eastAsia" w:ascii="仿宋_GB2312" w:hAnsi="仿宋_GB2312" w:eastAsia="仿宋_GB2312" w:cs="仿宋_GB2312"/>
          <w:color w:val="auto"/>
          <w:szCs w:val="21"/>
        </w:rPr>
        <w:t>指定地点。</w:t>
      </w:r>
    </w:p>
    <w:p>
      <w:pPr>
        <w:adjustRightInd w:val="0"/>
        <w:snapToGrid w:val="0"/>
        <w:spacing w:line="360" w:lineRule="auto"/>
        <w:ind w:firstLine="420" w:firstLineChars="200"/>
        <w:jc w:val="left"/>
        <w:rPr>
          <w:rFonts w:ascii="仿宋_GB2312" w:hAnsi="仿宋_GB2312" w:eastAsia="仿宋_GB2312" w:cs="仿宋_GB2312"/>
          <w:b/>
          <w:color w:val="auto"/>
          <w:szCs w:val="21"/>
        </w:rPr>
      </w:pPr>
      <w:r>
        <w:rPr>
          <w:rFonts w:hint="eastAsia" w:ascii="仿宋_GB2312" w:hAnsi="仿宋_GB2312" w:eastAsia="仿宋_GB2312" w:cs="仿宋_GB2312"/>
          <w:color w:val="auto"/>
          <w:szCs w:val="21"/>
          <w:lang w:val="en-US" w:eastAsia="zh-CN"/>
        </w:rPr>
        <w:t>3.</w:t>
      </w:r>
      <w:r>
        <w:rPr>
          <w:rFonts w:hint="eastAsia" w:ascii="仿宋_GB2312" w:hAnsi="仿宋_GB2312" w:eastAsia="仿宋_GB2312" w:cs="仿宋_GB2312"/>
          <w:color w:val="auto"/>
          <w:szCs w:val="21"/>
        </w:rPr>
        <w:t>服务质量要求和服务标准：执行国家、省或行业现行的验收标准及规范，符合</w:t>
      </w:r>
      <w:r>
        <w:rPr>
          <w:rFonts w:hint="eastAsia" w:ascii="仿宋_GB2312" w:hAnsi="仿宋_GB2312" w:eastAsia="仿宋_GB2312" w:cs="仿宋_GB2312"/>
          <w:color w:val="auto"/>
          <w:szCs w:val="21"/>
          <w:lang w:val="en-US" w:eastAsia="zh-CN"/>
        </w:rPr>
        <w:t>甲方</w:t>
      </w:r>
      <w:r>
        <w:rPr>
          <w:rFonts w:hint="eastAsia" w:ascii="仿宋_GB2312" w:hAnsi="仿宋_GB2312" w:eastAsia="仿宋_GB2312" w:cs="仿宋_GB2312"/>
          <w:color w:val="auto"/>
          <w:szCs w:val="21"/>
        </w:rPr>
        <w:t>需求，并最终通过</w:t>
      </w:r>
      <w:r>
        <w:rPr>
          <w:rFonts w:hint="eastAsia" w:ascii="仿宋_GB2312" w:hAnsi="仿宋_GB2312" w:eastAsia="仿宋_GB2312" w:cs="仿宋_GB2312"/>
          <w:color w:val="auto"/>
          <w:szCs w:val="21"/>
          <w:lang w:val="en-US" w:eastAsia="zh-CN"/>
        </w:rPr>
        <w:t>甲方</w:t>
      </w:r>
      <w:r>
        <w:rPr>
          <w:rFonts w:hint="eastAsia" w:ascii="仿宋_GB2312" w:hAnsi="仿宋_GB2312" w:eastAsia="仿宋_GB2312" w:cs="仿宋_GB2312"/>
          <w:color w:val="auto"/>
          <w:szCs w:val="21"/>
        </w:rPr>
        <w:t>验收。</w:t>
      </w:r>
      <w:r>
        <w:rPr>
          <w:rFonts w:hint="eastAsia" w:ascii="仿宋_GB2312" w:hAnsi="仿宋_GB2312" w:eastAsia="仿宋_GB2312" w:cs="仿宋_GB2312"/>
          <w:b/>
          <w:color w:val="auto"/>
          <w:szCs w:val="21"/>
        </w:rPr>
        <w:t>　　</w:t>
      </w:r>
    </w:p>
    <w:p>
      <w:pPr>
        <w:adjustRightInd w:val="0"/>
        <w:snapToGrid w:val="0"/>
        <w:spacing w:line="360" w:lineRule="auto"/>
        <w:ind w:firstLine="422" w:firstLineChars="200"/>
        <w:jc w:val="left"/>
        <w:rPr>
          <w:rFonts w:hint="default" w:ascii="仿宋_GB2312" w:hAnsi="仿宋_GB2312" w:eastAsia="仿宋_GB2312" w:cs="仿宋_GB2312"/>
          <w:b/>
          <w:color w:val="auto"/>
          <w:szCs w:val="21"/>
          <w:lang w:val="en-US" w:eastAsia="zh-CN"/>
        </w:rPr>
      </w:pPr>
      <w:r>
        <w:rPr>
          <w:rFonts w:hint="eastAsia" w:ascii="仿宋_GB2312" w:hAnsi="仿宋_GB2312" w:eastAsia="仿宋_GB2312" w:cs="仿宋_GB2312"/>
          <w:b/>
          <w:color w:val="auto"/>
          <w:szCs w:val="21"/>
        </w:rPr>
        <w:t>二、</w:t>
      </w:r>
      <w:r>
        <w:rPr>
          <w:rFonts w:hint="eastAsia" w:ascii="仿宋_GB2312" w:hAnsi="仿宋_GB2312" w:eastAsia="仿宋_GB2312" w:cs="仿宋_GB2312"/>
          <w:b/>
          <w:color w:val="auto"/>
          <w:szCs w:val="21"/>
          <w:lang w:val="en-US" w:eastAsia="zh-CN"/>
        </w:rPr>
        <w:t>工作内容与服务要求</w:t>
      </w:r>
    </w:p>
    <w:p>
      <w:pPr>
        <w:adjustRightInd w:val="0"/>
        <w:snapToGrid w:val="0"/>
        <w:spacing w:line="360" w:lineRule="auto"/>
        <w:ind w:firstLine="42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一</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、调研诊断</w:t>
      </w:r>
    </w:p>
    <w:p>
      <w:pPr>
        <w:adjustRightInd w:val="0"/>
        <w:snapToGrid w:val="0"/>
        <w:spacing w:line="360" w:lineRule="auto"/>
        <w:ind w:firstLine="42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1.工作内容及要求：组织开展内外部调研，根据岗位与薪酬现状，开展内外部调研与对标。</w:t>
      </w:r>
    </w:p>
    <w:p>
      <w:pPr>
        <w:adjustRightInd w:val="0"/>
        <w:snapToGrid w:val="0"/>
        <w:spacing w:line="360" w:lineRule="auto"/>
        <w:ind w:firstLine="42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2.项目成果：《人力资源管理调研诊断报告及初步解决思路》。</w:t>
      </w:r>
    </w:p>
    <w:p>
      <w:pPr>
        <w:adjustRightInd w:val="0"/>
        <w:snapToGrid w:val="0"/>
        <w:spacing w:line="360" w:lineRule="auto"/>
        <w:ind w:firstLine="42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二</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、工资总额优化设计</w:t>
      </w:r>
    </w:p>
    <w:p>
      <w:pPr>
        <w:adjustRightInd w:val="0"/>
        <w:snapToGrid w:val="0"/>
        <w:spacing w:line="360" w:lineRule="auto"/>
        <w:ind w:firstLine="42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1.工作内容及要求：设计工资总额决定机制改革方案和工资总额管理办法，实现工资决定和增长与劳动力市场基本适应，与国有企业经济效益和劳动生产率挂钩。</w:t>
      </w:r>
    </w:p>
    <w:p>
      <w:pPr>
        <w:adjustRightInd w:val="0"/>
        <w:snapToGrid w:val="0"/>
        <w:spacing w:line="360" w:lineRule="auto"/>
        <w:ind w:firstLine="42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2.项目成果：《工资总额管理办法》。</w:t>
      </w:r>
    </w:p>
    <w:p>
      <w:pPr>
        <w:adjustRightInd w:val="0"/>
        <w:snapToGrid w:val="0"/>
        <w:spacing w:line="360" w:lineRule="auto"/>
        <w:ind w:firstLine="42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三</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、组织与岗位体系优化</w:t>
      </w:r>
    </w:p>
    <w:p>
      <w:pPr>
        <w:adjustRightInd w:val="0"/>
        <w:snapToGrid w:val="0"/>
        <w:spacing w:line="360" w:lineRule="auto"/>
        <w:ind w:firstLine="42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1.工作内容及要求：全面开展访谈调研，优化完善组织架构体系，优化部门设置，制定清晰的部门职能说明书；细化梳理岗位，开展岗位标准化建设，形岗位设置方案，编制清晰的岗位职责说明书。</w:t>
      </w:r>
    </w:p>
    <w:p>
      <w:pPr>
        <w:adjustRightInd w:val="0"/>
        <w:snapToGrid w:val="0"/>
        <w:spacing w:line="360" w:lineRule="auto"/>
        <w:ind w:firstLine="42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2.项目成果：《组织架构优化方案》《公司部门职责说明书汇编》《公司岗位说明书汇编》。</w:t>
      </w:r>
    </w:p>
    <w:p>
      <w:pPr>
        <w:adjustRightInd w:val="0"/>
        <w:snapToGrid w:val="0"/>
        <w:spacing w:line="360" w:lineRule="auto"/>
        <w:ind w:firstLine="42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四</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、薪酬激励体系优化</w:t>
      </w:r>
    </w:p>
    <w:p>
      <w:pPr>
        <w:adjustRightInd w:val="0"/>
        <w:snapToGrid w:val="0"/>
        <w:spacing w:line="360" w:lineRule="auto"/>
        <w:ind w:firstLine="42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工作内容及要求:进行外部薪酬调研，将当前的薪酬数据与外部市场进行比对，保障外部公平性；开展岗位价值分层评估，建立岗位价值与业绩导向的薪酬体系，按岗定薪、分类分级管理，合理拉开薪酬差距，与岗位价值匹配；根据岗位价值评估结果完成新的薪酬套改。</w:t>
      </w:r>
    </w:p>
    <w:p>
      <w:pPr>
        <w:adjustRightInd w:val="0"/>
        <w:snapToGrid w:val="0"/>
        <w:spacing w:line="360" w:lineRule="auto"/>
        <w:ind w:firstLine="42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2.项目成果：《港口公司及项目公司薪酬优化方案》、《薪酬管理办法》、《薪酬测算报告》。</w:t>
      </w:r>
    </w:p>
    <w:p>
      <w:pPr>
        <w:adjustRightInd w:val="0"/>
        <w:snapToGrid w:val="0"/>
        <w:spacing w:line="360" w:lineRule="auto"/>
        <w:ind w:firstLine="42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五</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、绩效考核体系优化</w:t>
      </w:r>
    </w:p>
    <w:p>
      <w:pPr>
        <w:adjustRightInd w:val="0"/>
        <w:snapToGrid w:val="0"/>
        <w:spacing w:line="360" w:lineRule="auto"/>
        <w:ind w:firstLine="42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1.工作内容及要求:建立定性与定量相结合的全员岗位绩效薪酬体系，绩效目标确定流程合理；评价标准及考核办法具有可操作性，通过考核拉开薪酬差距；考核体系覆盖全体员工。</w:t>
      </w:r>
    </w:p>
    <w:p>
      <w:pPr>
        <w:adjustRightInd w:val="0"/>
        <w:snapToGrid w:val="0"/>
        <w:spacing w:line="360" w:lineRule="auto"/>
        <w:ind w:firstLine="42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2.项目成果:《港口公司及项目公司绩效管理方案》、《组织绩效管理办法》(含《组织绩效指标库》)、《组织绩效考核表汇总》、《岗位绩效管理办法》。</w:t>
      </w:r>
    </w:p>
    <w:p>
      <w:pPr>
        <w:adjustRightInd w:val="0"/>
        <w:snapToGrid w:val="0"/>
        <w:spacing w:line="360" w:lineRule="auto"/>
        <w:jc w:val="left"/>
        <w:rPr>
          <w:rFonts w:hint="eastAsia" w:ascii="仿宋_GB2312" w:hAnsi="仿宋_GB2312" w:eastAsia="仿宋_GB2312" w:cs="仿宋_GB2312"/>
          <w:b/>
          <w:color w:val="auto"/>
          <w:szCs w:val="21"/>
          <w:highlight w:val="none"/>
          <w:lang w:val="en-US" w:eastAsia="zh-CN"/>
        </w:rPr>
      </w:pPr>
      <w:r>
        <w:rPr>
          <w:rFonts w:hint="eastAsia" w:ascii="仿宋_GB2312" w:hAnsi="仿宋_GB2312" w:eastAsia="仿宋_GB2312" w:cs="仿宋_GB2312"/>
          <w:b/>
          <w:color w:val="auto"/>
          <w:szCs w:val="21"/>
          <w:highlight w:val="none"/>
        </w:rPr>
        <w:t>三、</w:t>
      </w:r>
      <w:r>
        <w:rPr>
          <w:rFonts w:hint="eastAsia" w:ascii="仿宋_GB2312" w:hAnsi="仿宋_GB2312" w:eastAsia="仿宋_GB2312" w:cs="仿宋_GB2312"/>
          <w:b/>
          <w:color w:val="auto"/>
          <w:szCs w:val="21"/>
          <w:highlight w:val="none"/>
          <w:lang w:val="en-US" w:eastAsia="zh-CN"/>
        </w:rPr>
        <w:t>项目人员清单</w:t>
      </w:r>
    </w:p>
    <w:p>
      <w:pPr>
        <w:adjustRightInd w:val="0"/>
        <w:snapToGrid w:val="0"/>
        <w:spacing w:line="360" w:lineRule="auto"/>
        <w:ind w:firstLine="420" w:firstLineChars="200"/>
        <w:jc w:val="left"/>
        <w:rPr>
          <w:rFonts w:hint="eastAsia" w:ascii="仿宋_GB2312" w:hAnsi="仿宋_GB2312" w:eastAsia="仿宋_GB2312" w:cs="仿宋_GB2312"/>
          <w:b w:val="0"/>
          <w:bCs/>
          <w:color w:val="auto"/>
          <w:szCs w:val="21"/>
          <w:highlight w:val="none"/>
          <w:lang w:val="en-US" w:eastAsia="zh-CN"/>
        </w:rPr>
      </w:pPr>
      <w:r>
        <w:rPr>
          <w:rFonts w:hint="eastAsia" w:ascii="仿宋_GB2312" w:hAnsi="仿宋_GB2312" w:eastAsia="仿宋_GB2312" w:cs="仿宋_GB2312"/>
          <w:b w:val="0"/>
          <w:bCs/>
          <w:color w:val="auto"/>
          <w:szCs w:val="21"/>
          <w:highlight w:val="none"/>
          <w:lang w:val="en-US" w:eastAsia="zh-CN"/>
        </w:rPr>
        <w:t>为履行本合同，乙方委派具有丰富经验的专业人员组成专门工作小组，名单如下表所示。未经甲方书面同意，乙方不得擅自更换工作小组成员。甲方要求对工作小组中不称职的成员进行调换的，乙方应在3个工作日内更换至甲方满意，并将结果书面通知甲方。甲方有权根据项目实际情况要求乙方增加或调整相关人员，并且不另支付费用。</w:t>
      </w:r>
    </w:p>
    <w:tbl>
      <w:tblPr>
        <w:tblStyle w:val="19"/>
        <w:tblpPr w:leftFromText="180" w:rightFromText="180" w:vertAnchor="text" w:horzAnchor="page" w:tblpX="1958" w:tblpY="29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772"/>
        <w:gridCol w:w="1342"/>
        <w:gridCol w:w="1084"/>
        <w:gridCol w:w="1372"/>
        <w:gridCol w:w="1587"/>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136" w:type="dxa"/>
            <w:vAlign w:val="center"/>
          </w:tcPr>
          <w:p>
            <w:pPr>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姓名</w:t>
            </w:r>
          </w:p>
        </w:tc>
        <w:tc>
          <w:tcPr>
            <w:tcW w:w="772" w:type="dxa"/>
            <w:vAlign w:val="center"/>
          </w:tcPr>
          <w:p>
            <w:pPr>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年龄</w:t>
            </w:r>
          </w:p>
        </w:tc>
        <w:tc>
          <w:tcPr>
            <w:tcW w:w="1342" w:type="dxa"/>
            <w:vAlign w:val="center"/>
          </w:tcPr>
          <w:p>
            <w:pPr>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拟在本项目中担任的职务</w:t>
            </w:r>
          </w:p>
        </w:tc>
        <w:tc>
          <w:tcPr>
            <w:tcW w:w="1084" w:type="dxa"/>
            <w:vAlign w:val="center"/>
          </w:tcPr>
          <w:p>
            <w:pPr>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技术职称</w:t>
            </w:r>
          </w:p>
        </w:tc>
        <w:tc>
          <w:tcPr>
            <w:tcW w:w="1372" w:type="dxa"/>
            <w:vAlign w:val="center"/>
          </w:tcPr>
          <w:p>
            <w:pPr>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资格证书类别及注册号</w:t>
            </w:r>
          </w:p>
        </w:tc>
        <w:tc>
          <w:tcPr>
            <w:tcW w:w="1587" w:type="dxa"/>
            <w:vAlign w:val="center"/>
          </w:tcPr>
          <w:p>
            <w:pPr>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累计对应岗位的工作年限（年）</w:t>
            </w:r>
          </w:p>
        </w:tc>
        <w:tc>
          <w:tcPr>
            <w:tcW w:w="1037" w:type="dxa"/>
            <w:vAlign w:val="center"/>
          </w:tcPr>
          <w:p>
            <w:pPr>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136" w:type="dxa"/>
            <w:vAlign w:val="center"/>
          </w:tcPr>
          <w:p>
            <w:pPr>
              <w:topLinePunct/>
              <w:snapToGrid w:val="0"/>
              <w:spacing w:line="240" w:lineRule="atLeast"/>
              <w:jc w:val="center"/>
              <w:rPr>
                <w:rFonts w:ascii="仿宋_GB2312" w:hAnsi="仿宋_GB2312" w:eastAsia="仿宋_GB2312" w:cs="仿宋_GB2312"/>
                <w:color w:val="auto"/>
                <w:szCs w:val="21"/>
              </w:rPr>
            </w:pPr>
          </w:p>
        </w:tc>
        <w:tc>
          <w:tcPr>
            <w:tcW w:w="772" w:type="dxa"/>
            <w:vAlign w:val="center"/>
          </w:tcPr>
          <w:p>
            <w:pPr>
              <w:topLinePunct/>
              <w:snapToGrid w:val="0"/>
              <w:spacing w:line="240" w:lineRule="atLeast"/>
              <w:jc w:val="center"/>
              <w:rPr>
                <w:rFonts w:ascii="仿宋_GB2312" w:hAnsi="仿宋_GB2312" w:eastAsia="仿宋_GB2312" w:cs="仿宋_GB2312"/>
                <w:color w:val="auto"/>
                <w:szCs w:val="21"/>
              </w:rPr>
            </w:pPr>
          </w:p>
        </w:tc>
        <w:tc>
          <w:tcPr>
            <w:tcW w:w="1342" w:type="dxa"/>
            <w:vAlign w:val="center"/>
          </w:tcPr>
          <w:p>
            <w:pPr>
              <w:topLinePunct/>
              <w:snapToGrid w:val="0"/>
              <w:spacing w:line="240" w:lineRule="atLeast"/>
              <w:jc w:val="center"/>
              <w:rPr>
                <w:rFonts w:ascii="仿宋_GB2312" w:hAnsi="仿宋_GB2312" w:eastAsia="仿宋_GB2312" w:cs="仿宋_GB2312"/>
                <w:color w:val="auto"/>
                <w:szCs w:val="21"/>
              </w:rPr>
            </w:pPr>
          </w:p>
        </w:tc>
        <w:tc>
          <w:tcPr>
            <w:tcW w:w="1084" w:type="dxa"/>
            <w:vAlign w:val="center"/>
          </w:tcPr>
          <w:p>
            <w:pPr>
              <w:topLinePunct/>
              <w:snapToGrid w:val="0"/>
              <w:spacing w:line="240" w:lineRule="atLeast"/>
              <w:jc w:val="center"/>
              <w:rPr>
                <w:rFonts w:ascii="仿宋_GB2312" w:hAnsi="仿宋_GB2312" w:eastAsia="仿宋_GB2312" w:cs="仿宋_GB2312"/>
                <w:color w:val="auto"/>
                <w:szCs w:val="21"/>
              </w:rPr>
            </w:pPr>
          </w:p>
        </w:tc>
        <w:tc>
          <w:tcPr>
            <w:tcW w:w="1372" w:type="dxa"/>
            <w:vAlign w:val="center"/>
          </w:tcPr>
          <w:p>
            <w:pPr>
              <w:topLinePunct/>
              <w:snapToGrid w:val="0"/>
              <w:spacing w:line="240" w:lineRule="atLeast"/>
              <w:jc w:val="center"/>
              <w:rPr>
                <w:rFonts w:ascii="仿宋_GB2312" w:hAnsi="仿宋_GB2312" w:eastAsia="仿宋_GB2312" w:cs="仿宋_GB2312"/>
                <w:color w:val="auto"/>
                <w:szCs w:val="21"/>
              </w:rPr>
            </w:pPr>
          </w:p>
        </w:tc>
        <w:tc>
          <w:tcPr>
            <w:tcW w:w="1587" w:type="dxa"/>
            <w:vAlign w:val="center"/>
          </w:tcPr>
          <w:p>
            <w:pPr>
              <w:topLinePunct/>
              <w:snapToGrid w:val="0"/>
              <w:spacing w:line="240" w:lineRule="atLeast"/>
              <w:jc w:val="center"/>
              <w:rPr>
                <w:rFonts w:ascii="仿宋_GB2312" w:hAnsi="仿宋_GB2312" w:eastAsia="仿宋_GB2312" w:cs="仿宋_GB2312"/>
                <w:color w:val="auto"/>
                <w:szCs w:val="21"/>
              </w:rPr>
            </w:pPr>
          </w:p>
        </w:tc>
        <w:tc>
          <w:tcPr>
            <w:tcW w:w="1037" w:type="dxa"/>
            <w:vAlign w:val="center"/>
          </w:tcPr>
          <w:p>
            <w:pPr>
              <w:topLinePunct/>
              <w:snapToGrid w:val="0"/>
              <w:spacing w:line="240" w:lineRule="atLeast"/>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136" w:type="dxa"/>
            <w:vAlign w:val="center"/>
          </w:tcPr>
          <w:p>
            <w:pPr>
              <w:topLinePunct/>
              <w:snapToGrid w:val="0"/>
              <w:spacing w:line="240" w:lineRule="atLeast"/>
              <w:jc w:val="center"/>
              <w:rPr>
                <w:rFonts w:ascii="仿宋_GB2312" w:hAnsi="仿宋_GB2312" w:eastAsia="仿宋_GB2312" w:cs="仿宋_GB2312"/>
                <w:color w:val="auto"/>
                <w:szCs w:val="21"/>
              </w:rPr>
            </w:pPr>
          </w:p>
        </w:tc>
        <w:tc>
          <w:tcPr>
            <w:tcW w:w="772" w:type="dxa"/>
            <w:vAlign w:val="center"/>
          </w:tcPr>
          <w:p>
            <w:pPr>
              <w:topLinePunct/>
              <w:snapToGrid w:val="0"/>
              <w:spacing w:line="240" w:lineRule="atLeast"/>
              <w:jc w:val="center"/>
              <w:rPr>
                <w:rFonts w:ascii="仿宋_GB2312" w:hAnsi="仿宋_GB2312" w:eastAsia="仿宋_GB2312" w:cs="仿宋_GB2312"/>
                <w:color w:val="auto"/>
                <w:szCs w:val="21"/>
              </w:rPr>
            </w:pPr>
          </w:p>
        </w:tc>
        <w:tc>
          <w:tcPr>
            <w:tcW w:w="1342" w:type="dxa"/>
            <w:vAlign w:val="center"/>
          </w:tcPr>
          <w:p>
            <w:pPr>
              <w:topLinePunct/>
              <w:snapToGrid w:val="0"/>
              <w:spacing w:line="240" w:lineRule="atLeast"/>
              <w:jc w:val="center"/>
              <w:rPr>
                <w:rFonts w:ascii="仿宋_GB2312" w:hAnsi="仿宋_GB2312" w:eastAsia="仿宋_GB2312" w:cs="仿宋_GB2312"/>
                <w:color w:val="auto"/>
                <w:szCs w:val="21"/>
              </w:rPr>
            </w:pPr>
          </w:p>
        </w:tc>
        <w:tc>
          <w:tcPr>
            <w:tcW w:w="1084" w:type="dxa"/>
            <w:vAlign w:val="center"/>
          </w:tcPr>
          <w:p>
            <w:pPr>
              <w:topLinePunct/>
              <w:snapToGrid w:val="0"/>
              <w:spacing w:line="240" w:lineRule="atLeast"/>
              <w:jc w:val="center"/>
              <w:rPr>
                <w:rFonts w:ascii="仿宋_GB2312" w:hAnsi="仿宋_GB2312" w:eastAsia="仿宋_GB2312" w:cs="仿宋_GB2312"/>
                <w:color w:val="auto"/>
                <w:szCs w:val="21"/>
              </w:rPr>
            </w:pPr>
          </w:p>
        </w:tc>
        <w:tc>
          <w:tcPr>
            <w:tcW w:w="1372" w:type="dxa"/>
            <w:vAlign w:val="center"/>
          </w:tcPr>
          <w:p>
            <w:pPr>
              <w:topLinePunct/>
              <w:snapToGrid w:val="0"/>
              <w:spacing w:line="240" w:lineRule="atLeast"/>
              <w:jc w:val="center"/>
              <w:rPr>
                <w:rFonts w:ascii="仿宋_GB2312" w:hAnsi="仿宋_GB2312" w:eastAsia="仿宋_GB2312" w:cs="仿宋_GB2312"/>
                <w:color w:val="auto"/>
                <w:szCs w:val="21"/>
              </w:rPr>
            </w:pPr>
          </w:p>
        </w:tc>
        <w:tc>
          <w:tcPr>
            <w:tcW w:w="1587" w:type="dxa"/>
            <w:vAlign w:val="center"/>
          </w:tcPr>
          <w:p>
            <w:pPr>
              <w:topLinePunct/>
              <w:snapToGrid w:val="0"/>
              <w:spacing w:line="240" w:lineRule="atLeast"/>
              <w:jc w:val="center"/>
              <w:rPr>
                <w:rFonts w:ascii="仿宋_GB2312" w:hAnsi="仿宋_GB2312" w:eastAsia="仿宋_GB2312" w:cs="仿宋_GB2312"/>
                <w:color w:val="auto"/>
                <w:szCs w:val="21"/>
              </w:rPr>
            </w:pPr>
          </w:p>
        </w:tc>
        <w:tc>
          <w:tcPr>
            <w:tcW w:w="1037" w:type="dxa"/>
            <w:vAlign w:val="center"/>
          </w:tcPr>
          <w:p>
            <w:pPr>
              <w:topLinePunct/>
              <w:snapToGrid w:val="0"/>
              <w:spacing w:line="240" w:lineRule="atLeast"/>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136" w:type="dxa"/>
            <w:vAlign w:val="center"/>
          </w:tcPr>
          <w:p>
            <w:pPr>
              <w:topLinePunct/>
              <w:snapToGrid w:val="0"/>
              <w:spacing w:line="240" w:lineRule="atLeast"/>
              <w:jc w:val="center"/>
              <w:rPr>
                <w:rFonts w:ascii="仿宋_GB2312" w:hAnsi="仿宋_GB2312" w:eastAsia="仿宋_GB2312" w:cs="仿宋_GB2312"/>
                <w:color w:val="auto"/>
                <w:szCs w:val="21"/>
              </w:rPr>
            </w:pPr>
          </w:p>
        </w:tc>
        <w:tc>
          <w:tcPr>
            <w:tcW w:w="772" w:type="dxa"/>
            <w:vAlign w:val="center"/>
          </w:tcPr>
          <w:p>
            <w:pPr>
              <w:topLinePunct/>
              <w:snapToGrid w:val="0"/>
              <w:spacing w:line="240" w:lineRule="atLeast"/>
              <w:jc w:val="center"/>
              <w:rPr>
                <w:rFonts w:ascii="仿宋_GB2312" w:hAnsi="仿宋_GB2312" w:eastAsia="仿宋_GB2312" w:cs="仿宋_GB2312"/>
                <w:color w:val="auto"/>
                <w:szCs w:val="21"/>
              </w:rPr>
            </w:pPr>
          </w:p>
        </w:tc>
        <w:tc>
          <w:tcPr>
            <w:tcW w:w="1342" w:type="dxa"/>
            <w:vAlign w:val="center"/>
          </w:tcPr>
          <w:p>
            <w:pPr>
              <w:topLinePunct/>
              <w:snapToGrid w:val="0"/>
              <w:spacing w:line="240" w:lineRule="atLeast"/>
              <w:jc w:val="center"/>
              <w:rPr>
                <w:rFonts w:ascii="仿宋_GB2312" w:hAnsi="仿宋_GB2312" w:eastAsia="仿宋_GB2312" w:cs="仿宋_GB2312"/>
                <w:color w:val="auto"/>
                <w:szCs w:val="21"/>
              </w:rPr>
            </w:pPr>
          </w:p>
        </w:tc>
        <w:tc>
          <w:tcPr>
            <w:tcW w:w="1084" w:type="dxa"/>
            <w:vAlign w:val="center"/>
          </w:tcPr>
          <w:p>
            <w:pPr>
              <w:topLinePunct/>
              <w:snapToGrid w:val="0"/>
              <w:spacing w:line="240" w:lineRule="atLeast"/>
              <w:jc w:val="center"/>
              <w:rPr>
                <w:rFonts w:ascii="仿宋_GB2312" w:hAnsi="仿宋_GB2312" w:eastAsia="仿宋_GB2312" w:cs="仿宋_GB2312"/>
                <w:color w:val="auto"/>
                <w:szCs w:val="21"/>
              </w:rPr>
            </w:pPr>
          </w:p>
        </w:tc>
        <w:tc>
          <w:tcPr>
            <w:tcW w:w="1372" w:type="dxa"/>
            <w:vAlign w:val="center"/>
          </w:tcPr>
          <w:p>
            <w:pPr>
              <w:topLinePunct/>
              <w:snapToGrid w:val="0"/>
              <w:spacing w:line="240" w:lineRule="atLeast"/>
              <w:jc w:val="center"/>
              <w:rPr>
                <w:rFonts w:ascii="仿宋_GB2312" w:hAnsi="仿宋_GB2312" w:eastAsia="仿宋_GB2312" w:cs="仿宋_GB2312"/>
                <w:color w:val="auto"/>
                <w:szCs w:val="21"/>
              </w:rPr>
            </w:pPr>
          </w:p>
        </w:tc>
        <w:tc>
          <w:tcPr>
            <w:tcW w:w="1587" w:type="dxa"/>
            <w:vAlign w:val="center"/>
          </w:tcPr>
          <w:p>
            <w:pPr>
              <w:topLinePunct/>
              <w:snapToGrid w:val="0"/>
              <w:spacing w:line="240" w:lineRule="atLeast"/>
              <w:jc w:val="center"/>
              <w:rPr>
                <w:rFonts w:ascii="仿宋_GB2312" w:hAnsi="仿宋_GB2312" w:eastAsia="仿宋_GB2312" w:cs="仿宋_GB2312"/>
                <w:color w:val="auto"/>
                <w:szCs w:val="21"/>
              </w:rPr>
            </w:pPr>
          </w:p>
        </w:tc>
        <w:tc>
          <w:tcPr>
            <w:tcW w:w="1037" w:type="dxa"/>
            <w:vAlign w:val="center"/>
          </w:tcPr>
          <w:p>
            <w:pPr>
              <w:topLinePunct/>
              <w:snapToGrid w:val="0"/>
              <w:spacing w:line="240" w:lineRule="atLeast"/>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136" w:type="dxa"/>
            <w:vAlign w:val="center"/>
          </w:tcPr>
          <w:p>
            <w:pPr>
              <w:topLinePunct/>
              <w:snapToGrid w:val="0"/>
              <w:spacing w:line="240" w:lineRule="atLeast"/>
              <w:jc w:val="center"/>
              <w:rPr>
                <w:rFonts w:ascii="仿宋_GB2312" w:hAnsi="仿宋_GB2312" w:eastAsia="仿宋_GB2312" w:cs="仿宋_GB2312"/>
                <w:color w:val="auto"/>
                <w:szCs w:val="21"/>
              </w:rPr>
            </w:pPr>
          </w:p>
        </w:tc>
        <w:tc>
          <w:tcPr>
            <w:tcW w:w="772" w:type="dxa"/>
            <w:vAlign w:val="center"/>
          </w:tcPr>
          <w:p>
            <w:pPr>
              <w:topLinePunct/>
              <w:snapToGrid w:val="0"/>
              <w:spacing w:line="240" w:lineRule="atLeast"/>
              <w:jc w:val="center"/>
              <w:rPr>
                <w:rFonts w:ascii="仿宋_GB2312" w:hAnsi="仿宋_GB2312" w:eastAsia="仿宋_GB2312" w:cs="仿宋_GB2312"/>
                <w:color w:val="auto"/>
                <w:szCs w:val="21"/>
              </w:rPr>
            </w:pPr>
          </w:p>
        </w:tc>
        <w:tc>
          <w:tcPr>
            <w:tcW w:w="1342" w:type="dxa"/>
            <w:vAlign w:val="center"/>
          </w:tcPr>
          <w:p>
            <w:pPr>
              <w:topLinePunct/>
              <w:snapToGrid w:val="0"/>
              <w:spacing w:line="240" w:lineRule="atLeast"/>
              <w:jc w:val="center"/>
              <w:rPr>
                <w:rFonts w:ascii="仿宋_GB2312" w:hAnsi="仿宋_GB2312" w:eastAsia="仿宋_GB2312" w:cs="仿宋_GB2312"/>
                <w:color w:val="auto"/>
                <w:szCs w:val="21"/>
              </w:rPr>
            </w:pPr>
          </w:p>
        </w:tc>
        <w:tc>
          <w:tcPr>
            <w:tcW w:w="1084" w:type="dxa"/>
            <w:vAlign w:val="center"/>
          </w:tcPr>
          <w:p>
            <w:pPr>
              <w:topLinePunct/>
              <w:snapToGrid w:val="0"/>
              <w:spacing w:line="240" w:lineRule="atLeast"/>
              <w:jc w:val="center"/>
              <w:rPr>
                <w:rFonts w:ascii="仿宋_GB2312" w:hAnsi="仿宋_GB2312" w:eastAsia="仿宋_GB2312" w:cs="仿宋_GB2312"/>
                <w:color w:val="auto"/>
                <w:szCs w:val="21"/>
              </w:rPr>
            </w:pPr>
          </w:p>
        </w:tc>
        <w:tc>
          <w:tcPr>
            <w:tcW w:w="1372" w:type="dxa"/>
            <w:vAlign w:val="center"/>
          </w:tcPr>
          <w:p>
            <w:pPr>
              <w:topLinePunct/>
              <w:snapToGrid w:val="0"/>
              <w:spacing w:line="240" w:lineRule="atLeast"/>
              <w:jc w:val="center"/>
              <w:rPr>
                <w:rFonts w:ascii="仿宋_GB2312" w:hAnsi="仿宋_GB2312" w:eastAsia="仿宋_GB2312" w:cs="仿宋_GB2312"/>
                <w:color w:val="auto"/>
                <w:szCs w:val="21"/>
              </w:rPr>
            </w:pPr>
          </w:p>
        </w:tc>
        <w:tc>
          <w:tcPr>
            <w:tcW w:w="1587" w:type="dxa"/>
            <w:vAlign w:val="center"/>
          </w:tcPr>
          <w:p>
            <w:pPr>
              <w:topLinePunct/>
              <w:snapToGrid w:val="0"/>
              <w:spacing w:line="240" w:lineRule="atLeast"/>
              <w:jc w:val="center"/>
              <w:rPr>
                <w:rFonts w:ascii="仿宋_GB2312" w:hAnsi="仿宋_GB2312" w:eastAsia="仿宋_GB2312" w:cs="仿宋_GB2312"/>
                <w:color w:val="auto"/>
                <w:szCs w:val="21"/>
              </w:rPr>
            </w:pPr>
          </w:p>
        </w:tc>
        <w:tc>
          <w:tcPr>
            <w:tcW w:w="1037" w:type="dxa"/>
            <w:vAlign w:val="center"/>
          </w:tcPr>
          <w:p>
            <w:pPr>
              <w:topLinePunct/>
              <w:snapToGrid w:val="0"/>
              <w:spacing w:line="240" w:lineRule="atLeast"/>
              <w:jc w:val="center"/>
              <w:rPr>
                <w:rFonts w:ascii="仿宋_GB2312" w:hAnsi="仿宋_GB2312" w:eastAsia="仿宋_GB2312" w:cs="仿宋_GB2312"/>
                <w:color w:val="auto"/>
                <w:szCs w:val="21"/>
              </w:rPr>
            </w:pPr>
          </w:p>
        </w:tc>
      </w:tr>
    </w:tbl>
    <w:p>
      <w:pPr>
        <w:pStyle w:val="24"/>
        <w:rPr>
          <w:rFonts w:hint="eastAsia"/>
          <w:color w:val="auto"/>
        </w:rPr>
      </w:pPr>
    </w:p>
    <w:p>
      <w:pPr>
        <w:adjustRightInd w:val="0"/>
        <w:snapToGrid w:val="0"/>
        <w:spacing w:line="360" w:lineRule="auto"/>
        <w:jc w:val="left"/>
        <w:rPr>
          <w:rFonts w:hint="default" w:ascii="仿宋_GB2312" w:hAnsi="仿宋_GB2312" w:eastAsia="仿宋_GB2312" w:cs="仿宋_GB2312"/>
          <w:b/>
          <w:color w:val="auto"/>
          <w:szCs w:val="21"/>
          <w:lang w:val="en-US" w:eastAsia="zh-CN"/>
        </w:rPr>
      </w:pPr>
      <w:r>
        <w:rPr>
          <w:rFonts w:hint="eastAsia" w:ascii="仿宋_GB2312" w:hAnsi="仿宋_GB2312" w:eastAsia="仿宋_GB2312" w:cs="仿宋_GB2312"/>
          <w:b/>
          <w:color w:val="auto"/>
          <w:szCs w:val="21"/>
        </w:rPr>
        <w:t>　　四、</w:t>
      </w:r>
      <w:r>
        <w:rPr>
          <w:rFonts w:hint="eastAsia" w:ascii="仿宋_GB2312" w:hAnsi="仿宋_GB2312" w:eastAsia="仿宋_GB2312" w:cs="仿宋_GB2312"/>
          <w:b/>
          <w:color w:val="auto"/>
          <w:szCs w:val="21"/>
          <w:lang w:val="en-US" w:eastAsia="zh-CN"/>
        </w:rPr>
        <w:t>服务成果及服务完成时间</w:t>
      </w:r>
    </w:p>
    <w:p>
      <w:pPr>
        <w:adjustRightInd w:val="0"/>
        <w:snapToGrid w:val="0"/>
        <w:spacing w:line="360" w:lineRule="auto"/>
        <w:ind w:firstLine="420" w:firstLineChars="20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1.</w:t>
      </w:r>
      <w:r>
        <w:rPr>
          <w:rFonts w:hint="eastAsia" w:ascii="仿宋_GB2312" w:hAnsi="仿宋_GB2312" w:eastAsia="仿宋_GB2312" w:cs="仿宋_GB2312"/>
          <w:color w:val="auto"/>
          <w:szCs w:val="21"/>
        </w:rPr>
        <w:t>最终成果包括但不限于</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u w:val="single"/>
        </w:rPr>
        <w:t>《人力资源管理调研诊断报告及初步解决思路》、《工资总额管理办法》、《组织架构优化方案》、《公司部门职责说明书汇编》、《公司岗位说明书汇编》、《港口公司及项目公司薪酬优化方案》、《薪酬管理办法》、《薪酬测算报告》、《港口公司及项目公司绩效管理方案》、《组织绩效管理办法》(含《组织绩效指标库》)、《组织绩效考核表汇总》、《岗位绩效管理办法》</w:t>
      </w:r>
      <w:r>
        <w:rPr>
          <w:rFonts w:hint="eastAsia" w:ascii="仿宋_GB2312" w:hAnsi="仿宋_GB2312" w:eastAsia="仿宋_GB2312" w:cs="仿宋_GB2312"/>
          <w:color w:val="auto"/>
          <w:szCs w:val="21"/>
        </w:rPr>
        <w:t>。</w:t>
      </w:r>
    </w:p>
    <w:p>
      <w:pPr>
        <w:adjustRightInd w:val="0"/>
        <w:snapToGrid w:val="0"/>
        <w:spacing w:line="360" w:lineRule="auto"/>
        <w:ind w:firstLine="420" w:firstLineChars="200"/>
        <w:jc w:val="left"/>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2.成果文件呈现性质包括但不限于：</w:t>
      </w:r>
      <w:r>
        <w:rPr>
          <w:rFonts w:hint="eastAsia" w:ascii="仿宋_GB2312" w:hAnsi="仿宋_GB2312" w:eastAsia="仿宋_GB2312" w:cs="仿宋_GB2312"/>
          <w:color w:val="auto"/>
          <w:szCs w:val="21"/>
          <w:u w:val="single"/>
          <w:lang w:val="en-US" w:eastAsia="zh-CN"/>
        </w:rPr>
        <w:t>PPT、WORD、EXCEL</w:t>
      </w:r>
      <w:r>
        <w:rPr>
          <w:rFonts w:hint="eastAsia" w:ascii="仿宋_GB2312" w:hAnsi="仿宋_GB2312" w:eastAsia="仿宋_GB2312" w:cs="仿宋_GB2312"/>
          <w:color w:val="auto"/>
          <w:szCs w:val="21"/>
          <w:lang w:val="en-US" w:eastAsia="zh-CN"/>
        </w:rPr>
        <w:t>。</w:t>
      </w:r>
    </w:p>
    <w:p>
      <w:pPr>
        <w:adjustRightInd w:val="0"/>
        <w:snapToGrid w:val="0"/>
        <w:spacing w:line="360" w:lineRule="auto"/>
        <w:ind w:firstLine="420" w:firstLineChars="200"/>
        <w:jc w:val="left"/>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3.项目期限：</w:t>
      </w:r>
      <w:r>
        <w:rPr>
          <w:rFonts w:hint="eastAsia" w:ascii="仿宋_GB2312" w:hAnsi="仿宋_GB2312" w:eastAsia="仿宋_GB2312" w:cs="仿宋_GB2312"/>
          <w:color w:val="auto"/>
          <w:szCs w:val="21"/>
          <w:u w:val="single"/>
          <w:lang w:val="en-US" w:eastAsia="zh-CN"/>
        </w:rPr>
        <w:t>自甲方通知乙方进场服务后3个月内</w:t>
      </w:r>
      <w:r>
        <w:rPr>
          <w:rFonts w:hint="eastAsia" w:ascii="仿宋_GB2312" w:hAnsi="仿宋_GB2312" w:eastAsia="仿宋_GB2312" w:cs="仿宋_GB2312"/>
          <w:color w:val="auto"/>
          <w:szCs w:val="21"/>
          <w:lang w:val="en-US" w:eastAsia="zh-CN"/>
        </w:rPr>
        <w:t>。</w:t>
      </w:r>
    </w:p>
    <w:p>
      <w:pPr>
        <w:adjustRightInd w:val="0"/>
        <w:snapToGrid w:val="0"/>
        <w:spacing w:line="360" w:lineRule="auto"/>
        <w:jc w:val="left"/>
        <w:rPr>
          <w:rFonts w:ascii="仿宋_GB2312" w:hAnsi="仿宋_GB2312" w:eastAsia="仿宋_GB2312" w:cs="仿宋_GB2312"/>
          <w:color w:val="auto"/>
          <w:szCs w:val="21"/>
        </w:rPr>
      </w:pPr>
      <w:r>
        <w:rPr>
          <w:rFonts w:hint="eastAsia" w:ascii="仿宋_GB2312" w:hAnsi="仿宋_GB2312" w:eastAsia="仿宋_GB2312" w:cs="仿宋_GB2312"/>
          <w:b/>
          <w:color w:val="auto"/>
          <w:szCs w:val="21"/>
        </w:rPr>
        <w:t>　　五、</w:t>
      </w:r>
      <w:r>
        <w:rPr>
          <w:rFonts w:hint="eastAsia" w:ascii="仿宋_GB2312" w:hAnsi="仿宋_GB2312" w:eastAsia="仿宋_GB2312" w:cs="仿宋_GB2312"/>
          <w:b/>
          <w:color w:val="auto"/>
          <w:szCs w:val="21"/>
          <w:lang w:val="en-US" w:eastAsia="zh-CN"/>
        </w:rPr>
        <w:t>合同总价及</w:t>
      </w:r>
      <w:r>
        <w:rPr>
          <w:rFonts w:hint="eastAsia" w:ascii="仿宋_GB2312" w:hAnsi="仿宋_GB2312" w:eastAsia="仿宋_GB2312" w:cs="仿宋_GB2312"/>
          <w:b/>
          <w:color w:val="auto"/>
          <w:szCs w:val="21"/>
        </w:rPr>
        <w:t>付款方式</w:t>
      </w:r>
    </w:p>
    <w:p>
      <w:pPr>
        <w:adjustRightInd w:val="0"/>
        <w:snapToGrid w:val="0"/>
        <w:spacing w:line="360" w:lineRule="auto"/>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1.本合同含税固定总价为（大写）人民币</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（小写￥</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本合同涉及合同价款无特别约定的均为含税价。本合同总价采用固定总价包干形式，包含但不限于资料收集费、文件编制费用、人工费、咨询费、工作人员交通差旅费、税费、利润，以及本项目全部工作成果通过</w:t>
      </w:r>
      <w:r>
        <w:rPr>
          <w:rFonts w:hint="eastAsia" w:ascii="仿宋_GB2312" w:hAnsi="仿宋_GB2312" w:eastAsia="仿宋_GB2312" w:cs="仿宋_GB2312"/>
          <w:color w:val="auto"/>
          <w:szCs w:val="21"/>
          <w:lang w:val="en-US" w:eastAsia="zh-CN"/>
        </w:rPr>
        <w:t>验收</w:t>
      </w:r>
      <w:r>
        <w:rPr>
          <w:rFonts w:hint="eastAsia" w:ascii="仿宋_GB2312" w:hAnsi="仿宋_GB2312" w:eastAsia="仿宋_GB2312" w:cs="仿宋_GB2312"/>
          <w:color w:val="auto"/>
          <w:szCs w:val="21"/>
        </w:rPr>
        <w:t>的一切费用。除双方另有约定外，甲方无须向乙方支付其他任何费用。</w:t>
      </w:r>
    </w:p>
    <w:p>
      <w:pPr>
        <w:adjustRightInd w:val="0"/>
        <w:snapToGrid w:val="0"/>
        <w:spacing w:line="360" w:lineRule="auto"/>
        <w:ind w:firstLine="420" w:firstLineChars="200"/>
        <w:jc w:val="left"/>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rPr>
        <w:t>2.</w:t>
      </w:r>
      <w:r>
        <w:rPr>
          <w:rFonts w:hint="eastAsia" w:ascii="仿宋_GB2312" w:hAnsi="仿宋_GB2312" w:eastAsia="仿宋_GB2312" w:cs="仿宋_GB2312"/>
          <w:color w:val="auto"/>
          <w:szCs w:val="21"/>
          <w:lang w:val="en-US" w:eastAsia="zh-CN"/>
        </w:rPr>
        <w:t>付款方式：</w:t>
      </w:r>
    </w:p>
    <w:p>
      <w:pPr>
        <w:adjustRightInd w:val="0"/>
        <w:snapToGrid w:val="0"/>
        <w:spacing w:line="360" w:lineRule="auto"/>
        <w:ind w:firstLine="420" w:firstLineChars="200"/>
        <w:jc w:val="left"/>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第一期：合同签订之日起15日内，支付合同总额的30%，</w:t>
      </w:r>
      <w:r>
        <w:rPr>
          <w:rFonts w:hint="eastAsia" w:ascii="仿宋_GB2312" w:hAnsi="仿宋_GB2312" w:eastAsia="仿宋_GB2312" w:cs="仿宋_GB2312"/>
          <w:color w:val="auto"/>
          <w:szCs w:val="21"/>
        </w:rPr>
        <w:t>即人民币</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元 ）</w:t>
      </w:r>
      <w:r>
        <w:rPr>
          <w:rFonts w:hint="eastAsia" w:ascii="仿宋_GB2312" w:hAnsi="仿宋_GB2312" w:eastAsia="仿宋_GB2312" w:cs="仿宋_GB2312"/>
          <w:color w:val="auto"/>
          <w:szCs w:val="21"/>
          <w:lang w:eastAsia="zh-CN"/>
        </w:rPr>
        <w:t>；</w:t>
      </w:r>
    </w:p>
    <w:p>
      <w:pPr>
        <w:adjustRightInd w:val="0"/>
        <w:snapToGrid w:val="0"/>
        <w:spacing w:line="360" w:lineRule="auto"/>
        <w:ind w:firstLine="420" w:firstLineChars="200"/>
        <w:jc w:val="left"/>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第二期：初步成果文件提交并经甲方认可之日起15日内，支付合同总额的20%，</w:t>
      </w:r>
      <w:r>
        <w:rPr>
          <w:rFonts w:hint="eastAsia" w:ascii="仿宋_GB2312" w:hAnsi="仿宋_GB2312" w:eastAsia="仿宋_GB2312" w:cs="仿宋_GB2312"/>
          <w:color w:val="auto"/>
          <w:szCs w:val="21"/>
        </w:rPr>
        <w:t>即人民币</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元 ）</w:t>
      </w:r>
      <w:r>
        <w:rPr>
          <w:rFonts w:hint="eastAsia" w:ascii="仿宋_GB2312" w:hAnsi="仿宋_GB2312" w:eastAsia="仿宋_GB2312" w:cs="仿宋_GB2312"/>
          <w:color w:val="auto"/>
          <w:szCs w:val="21"/>
          <w:lang w:eastAsia="zh-CN"/>
        </w:rPr>
        <w:t>；</w:t>
      </w:r>
    </w:p>
    <w:p>
      <w:pPr>
        <w:adjustRightInd w:val="0"/>
        <w:snapToGrid w:val="0"/>
        <w:spacing w:line="360" w:lineRule="auto"/>
        <w:ind w:firstLine="420" w:firstLineChars="200"/>
        <w:jc w:val="left"/>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第三期：乙方按照约定和项目要求完成全部工作并最终成果文件经甲方验收通过之日起15日内，支付合同总额的50%，</w:t>
      </w:r>
      <w:r>
        <w:rPr>
          <w:rFonts w:hint="eastAsia" w:ascii="仿宋_GB2312" w:hAnsi="仿宋_GB2312" w:eastAsia="仿宋_GB2312" w:cs="仿宋_GB2312"/>
          <w:color w:val="auto"/>
          <w:szCs w:val="21"/>
        </w:rPr>
        <w:t>即人民币</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元 ）</w:t>
      </w:r>
      <w:r>
        <w:rPr>
          <w:rFonts w:hint="eastAsia" w:ascii="仿宋_GB2312" w:hAnsi="仿宋_GB2312" w:eastAsia="仿宋_GB2312" w:cs="仿宋_GB2312"/>
          <w:color w:val="auto"/>
          <w:szCs w:val="21"/>
          <w:lang w:eastAsia="zh-CN"/>
        </w:rPr>
        <w:t>；</w:t>
      </w:r>
    </w:p>
    <w:p>
      <w:pPr>
        <w:adjustRightInd w:val="0"/>
        <w:snapToGrid w:val="0"/>
        <w:spacing w:line="360" w:lineRule="auto"/>
        <w:ind w:firstLine="420" w:firstLineChars="20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 付款条件：付款前乙方须向甲方提供书面付款申请和相应金额且符合甲方所在地税务主管机关要求的增值税专用发票，否则甲方可拒付并不承担任何责任。</w:t>
      </w:r>
    </w:p>
    <w:p>
      <w:pPr>
        <w:adjustRightInd w:val="0"/>
        <w:snapToGrid w:val="0"/>
        <w:spacing w:line="360" w:lineRule="auto"/>
        <w:ind w:firstLine="420" w:firstLineChars="20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4.以银行转帐方式进行支付，乙方指定收款账号信息如下：</w:t>
      </w:r>
    </w:p>
    <w:p>
      <w:pPr>
        <w:adjustRightInd w:val="0"/>
        <w:snapToGrid w:val="0"/>
        <w:spacing w:line="360" w:lineRule="auto"/>
        <w:ind w:firstLine="420" w:firstLineChars="20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账户名称：</w:t>
      </w:r>
      <w:r>
        <w:rPr>
          <w:rFonts w:hint="eastAsia" w:ascii="仿宋_GB2312" w:hAnsi="仿宋_GB2312" w:eastAsia="仿宋_GB2312" w:cs="仿宋_GB2312"/>
          <w:color w:val="auto"/>
          <w:szCs w:val="21"/>
          <w:u w:val="single"/>
        </w:rPr>
        <w:t xml:space="preserve">                       </w:t>
      </w:r>
    </w:p>
    <w:p>
      <w:pPr>
        <w:adjustRightInd w:val="0"/>
        <w:snapToGrid w:val="0"/>
        <w:spacing w:line="360" w:lineRule="auto"/>
        <w:ind w:firstLine="420" w:firstLineChars="20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银行账号：</w:t>
      </w:r>
      <w:r>
        <w:rPr>
          <w:rFonts w:hint="eastAsia" w:ascii="仿宋_GB2312" w:hAnsi="仿宋_GB2312" w:eastAsia="仿宋_GB2312" w:cs="仿宋_GB2312"/>
          <w:color w:val="auto"/>
          <w:szCs w:val="21"/>
          <w:u w:val="single"/>
        </w:rPr>
        <w:t xml:space="preserve">                       </w:t>
      </w:r>
    </w:p>
    <w:p>
      <w:pPr>
        <w:adjustRightInd w:val="0"/>
        <w:snapToGrid w:val="0"/>
        <w:spacing w:line="360" w:lineRule="auto"/>
        <w:ind w:firstLine="420" w:firstLineChars="20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开户银行：</w:t>
      </w:r>
      <w:r>
        <w:rPr>
          <w:rFonts w:hint="eastAsia" w:ascii="仿宋_GB2312" w:hAnsi="仿宋_GB2312" w:eastAsia="仿宋_GB2312" w:cs="仿宋_GB2312"/>
          <w:color w:val="auto"/>
          <w:szCs w:val="21"/>
          <w:u w:val="single"/>
        </w:rPr>
        <w:t xml:space="preserve">                       </w:t>
      </w:r>
    </w:p>
    <w:p>
      <w:pPr>
        <w:adjustRightInd w:val="0"/>
        <w:snapToGrid w:val="0"/>
        <w:spacing w:line="360" w:lineRule="auto"/>
        <w:jc w:val="left"/>
        <w:rPr>
          <w:rFonts w:ascii="仿宋_GB2312" w:hAnsi="仿宋_GB2312" w:eastAsia="仿宋_GB2312" w:cs="仿宋_GB2312"/>
          <w:b/>
          <w:color w:val="auto"/>
          <w:szCs w:val="21"/>
        </w:rPr>
      </w:pPr>
      <w:r>
        <w:rPr>
          <w:rFonts w:hint="eastAsia" w:ascii="仿宋_GB2312" w:hAnsi="仿宋_GB2312" w:eastAsia="仿宋_GB2312" w:cs="仿宋_GB2312"/>
          <w:b/>
          <w:color w:val="auto"/>
          <w:szCs w:val="21"/>
        </w:rPr>
        <w:t>　　六、双方权利和义务</w:t>
      </w:r>
    </w:p>
    <w:p>
      <w:pPr>
        <w:adjustRightInd w:val="0"/>
        <w:snapToGrid w:val="0"/>
        <w:spacing w:line="360" w:lineRule="auto"/>
        <w:ind w:firstLine="420" w:firstLineChars="20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1．甲方按合同约定提供相关资料，乙方根据甲方提供的资料按照相关法律、法规、标准、本合同约定及甲方要求编制成果文件，且对其可行性、合法性、专业性负责。</w:t>
      </w:r>
    </w:p>
    <w:p>
      <w:pPr>
        <w:adjustRightInd w:val="0"/>
        <w:snapToGrid w:val="0"/>
        <w:spacing w:line="360" w:lineRule="auto"/>
        <w:ind w:firstLine="420" w:firstLineChars="20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2．乙方承诺在自本合同签订之日起____个日历天内完成本合同约定的全部工作成果并通过</w:t>
      </w:r>
      <w:r>
        <w:rPr>
          <w:rFonts w:hint="eastAsia" w:ascii="仿宋_GB2312" w:hAnsi="仿宋_GB2312" w:eastAsia="仿宋_GB2312" w:cs="仿宋_GB2312"/>
          <w:color w:val="auto"/>
          <w:szCs w:val="21"/>
          <w:lang w:val="en-US" w:eastAsia="zh-CN"/>
        </w:rPr>
        <w:t>甲方验收</w:t>
      </w:r>
      <w:r>
        <w:rPr>
          <w:rFonts w:hint="eastAsia" w:ascii="仿宋_GB2312" w:hAnsi="仿宋_GB2312" w:eastAsia="仿宋_GB2312" w:cs="仿宋_GB2312"/>
          <w:color w:val="auto"/>
          <w:szCs w:val="21"/>
        </w:rPr>
        <w:t>。如本合同有其他约定的，以孰利于甲方为准。</w:t>
      </w:r>
    </w:p>
    <w:p>
      <w:pPr>
        <w:adjustRightInd w:val="0"/>
        <w:snapToGrid w:val="0"/>
        <w:spacing w:line="360" w:lineRule="auto"/>
        <w:ind w:firstLine="420" w:firstLineChars="20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3．乙方出具成果文件前，应充分征询甲方的意见，及时回复甲方提出的问题，按甲方的书面要求调整，工期不因此顺延。</w:t>
      </w:r>
    </w:p>
    <w:p>
      <w:pPr>
        <w:adjustRightInd w:val="0"/>
        <w:snapToGrid w:val="0"/>
        <w:spacing w:line="360" w:lineRule="auto"/>
        <w:ind w:firstLine="420" w:firstLineChars="20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4</w:t>
      </w:r>
      <w:r>
        <w:rPr>
          <w:rFonts w:hint="eastAsia" w:ascii="仿宋_GB2312" w:hAnsi="仿宋_GB2312" w:eastAsia="仿宋_GB2312" w:cs="仿宋_GB2312"/>
          <w:color w:val="auto"/>
          <w:szCs w:val="21"/>
        </w:rPr>
        <w:t>．由于乙方所提交的工作成果的错误或遗漏等造成安全或质量事故，乙方应承担由此产生的责任。</w:t>
      </w:r>
    </w:p>
    <w:p>
      <w:pPr>
        <w:adjustRightInd w:val="0"/>
        <w:snapToGrid w:val="0"/>
        <w:spacing w:line="360" w:lineRule="auto"/>
        <w:ind w:firstLine="420" w:firstLineChars="20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5</w:t>
      </w:r>
      <w:r>
        <w:rPr>
          <w:rFonts w:hint="eastAsia" w:ascii="仿宋_GB2312" w:hAnsi="仿宋_GB2312" w:eastAsia="仿宋_GB2312" w:cs="仿宋_GB2312"/>
          <w:color w:val="auto"/>
          <w:szCs w:val="21"/>
        </w:rPr>
        <w:t>．乙方应根据其专业知识、综合积累的数据资料和经验，根据国家的有关标准和规定及</w:t>
      </w:r>
      <w:r>
        <w:rPr>
          <w:rFonts w:hint="eastAsia" w:ascii="仿宋_GB2312" w:hAnsi="仿宋_GB2312" w:eastAsia="仿宋_GB2312" w:cs="仿宋_GB2312"/>
          <w:color w:val="auto"/>
          <w:szCs w:val="21"/>
          <w:lang w:val="en-US" w:eastAsia="zh-CN"/>
        </w:rPr>
        <w:t>行业规范</w:t>
      </w:r>
      <w:r>
        <w:rPr>
          <w:rFonts w:hint="eastAsia" w:ascii="仿宋_GB2312" w:hAnsi="仿宋_GB2312" w:eastAsia="仿宋_GB2312" w:cs="仿宋_GB2312"/>
          <w:color w:val="auto"/>
          <w:szCs w:val="21"/>
        </w:rPr>
        <w:t>对内容和深度的要求，结合项目的宏观经济分析和市场需求、以及项目定位出具独立的研究成果文件。</w:t>
      </w:r>
    </w:p>
    <w:p>
      <w:pPr>
        <w:adjustRightInd w:val="0"/>
        <w:snapToGrid w:val="0"/>
        <w:spacing w:line="360" w:lineRule="auto"/>
        <w:ind w:firstLine="422" w:firstLineChars="200"/>
        <w:jc w:val="left"/>
        <w:rPr>
          <w:rFonts w:ascii="仿宋_GB2312" w:hAnsi="仿宋_GB2312" w:eastAsia="仿宋_GB2312" w:cs="仿宋_GB2312"/>
          <w:b/>
          <w:color w:val="auto"/>
          <w:szCs w:val="21"/>
        </w:rPr>
      </w:pPr>
      <w:r>
        <w:rPr>
          <w:rFonts w:hint="eastAsia" w:ascii="仿宋_GB2312" w:hAnsi="仿宋_GB2312" w:eastAsia="仿宋_GB2312" w:cs="仿宋_GB2312"/>
          <w:b/>
          <w:color w:val="auto"/>
          <w:szCs w:val="21"/>
        </w:rPr>
        <w:t>七、违约责任</w:t>
      </w:r>
    </w:p>
    <w:p>
      <w:pPr>
        <w:adjustRightInd w:val="0"/>
        <w:snapToGrid w:val="0"/>
        <w:spacing w:line="360" w:lineRule="auto"/>
        <w:ind w:firstLine="411" w:firstLineChars="196"/>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1．因政策调整或甲方原因导致本合同终止的，甲方按照乙方实际完成并经甲方书面确认的合格工作量进行结算，支付相应服务费用。除双方另有约定之外，甲方无需承担其他任何责任。</w:t>
      </w:r>
    </w:p>
    <w:p>
      <w:pPr>
        <w:adjustRightInd w:val="0"/>
        <w:snapToGrid w:val="0"/>
        <w:spacing w:line="360" w:lineRule="auto"/>
        <w:ind w:firstLine="411" w:firstLineChars="196"/>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2.由于政策调整或其他原因需要减少乙方工作范围的，甲方按照减少后的工作范围及乙方实际完成并经甲方书面确认合格的工作量支付费用。除另有约定外，甲方不支付任何费用或承担任何责任。</w:t>
      </w:r>
    </w:p>
    <w:p>
      <w:pPr>
        <w:adjustRightInd w:val="0"/>
        <w:snapToGrid w:val="0"/>
        <w:spacing w:line="360" w:lineRule="auto"/>
        <w:ind w:firstLine="411" w:firstLineChars="196"/>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3.甲方和乙方均须确保各自在签订及履行本合同过程中具备相应的资质，并赔偿因其不具备相应资质而给对方造成的一切损失。</w:t>
      </w:r>
    </w:p>
    <w:p>
      <w:pPr>
        <w:adjustRightInd w:val="0"/>
        <w:snapToGrid w:val="0"/>
        <w:spacing w:line="360" w:lineRule="auto"/>
        <w:ind w:firstLine="411" w:firstLineChars="196"/>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甲方由于自身的原因未按本合同约定向乙方支付费用，自约定的期限届满之日起，每逾期一日，乙方有权按应支付合同金额的万分之四向甲方收取逾期违约金。逾期超过30天以上时，乙方有权暂停履行下阶段工作，并书面通知甲方。</w:t>
      </w:r>
    </w:p>
    <w:p>
      <w:pPr>
        <w:adjustRightInd w:val="0"/>
        <w:snapToGrid w:val="0"/>
        <w:spacing w:line="360" w:lineRule="auto"/>
        <w:ind w:firstLine="411" w:firstLineChars="196"/>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5.乙方未按本合同约定期限提交符合合同要求的工作成果，自约定的期限届满之日起，每逾期一日，甲方有权按合同总价的万分之四向乙方收取逾期违约金。</w:t>
      </w:r>
    </w:p>
    <w:p>
      <w:pPr>
        <w:adjustRightInd w:val="0"/>
        <w:snapToGrid w:val="0"/>
        <w:spacing w:line="360" w:lineRule="auto"/>
        <w:ind w:firstLine="411" w:firstLineChars="196"/>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 如因乙方的工作质量无法满足合同约定及甲方要求的，乙方应无条件返工，产生的费用由乙方承担，工期不顺延。</w:t>
      </w:r>
    </w:p>
    <w:p>
      <w:pPr>
        <w:adjustRightInd w:val="0"/>
        <w:snapToGrid w:val="0"/>
        <w:spacing w:line="360" w:lineRule="auto"/>
        <w:ind w:firstLine="411" w:firstLineChars="196"/>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7.乙方应按甲方要求配置符合甲方要求的工作人员和更换不符合甲方要求的工作人员，否则甲方有权要求乙方按每人每次人民币1000元的标准支付违约金。</w:t>
      </w:r>
    </w:p>
    <w:p>
      <w:pPr>
        <w:adjustRightInd w:val="0"/>
        <w:snapToGrid w:val="0"/>
        <w:spacing w:line="360" w:lineRule="auto"/>
        <w:ind w:firstLine="411" w:firstLineChars="196"/>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8. 乙方有下列情形之一的，甲方有权解除合同：</w:t>
      </w:r>
    </w:p>
    <w:p>
      <w:pPr>
        <w:adjustRightInd w:val="0"/>
        <w:snapToGrid w:val="0"/>
        <w:spacing w:line="360" w:lineRule="auto"/>
        <w:ind w:firstLine="411" w:firstLineChars="196"/>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（1）未按合同约定期限或工作计划提交符合合同要求的工作成果，逾期超过10个日历天；</w:t>
      </w:r>
    </w:p>
    <w:p>
      <w:pPr>
        <w:adjustRightInd w:val="0"/>
        <w:snapToGrid w:val="0"/>
        <w:spacing w:line="360" w:lineRule="auto"/>
        <w:ind w:firstLine="411" w:firstLineChars="196"/>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（2）工作成果经2次以上修改仍未符合合同要求或未通过甲方验收；</w:t>
      </w:r>
    </w:p>
    <w:p>
      <w:pPr>
        <w:adjustRightInd w:val="0"/>
        <w:snapToGrid w:val="0"/>
        <w:spacing w:line="360" w:lineRule="auto"/>
        <w:ind w:firstLine="411" w:firstLineChars="196"/>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（3）服务质量、工作效率等达不到甲方要求，甲方提出书面要求及具体意见后，乙方的整改仍不能达到甲方要求的；</w:t>
      </w:r>
    </w:p>
    <w:p>
      <w:pPr>
        <w:adjustRightInd w:val="0"/>
        <w:snapToGrid w:val="0"/>
        <w:spacing w:line="360" w:lineRule="auto"/>
        <w:ind w:firstLine="411" w:firstLineChars="196"/>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（4）擅自更换项目主要负责人员、拒不更换不合格的工作人员； </w:t>
      </w:r>
    </w:p>
    <w:p>
      <w:pPr>
        <w:adjustRightInd w:val="0"/>
        <w:snapToGrid w:val="0"/>
        <w:spacing w:line="360" w:lineRule="auto"/>
        <w:ind w:firstLine="411" w:firstLineChars="196"/>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（5）转包、擅自分包本合同项目；</w:t>
      </w:r>
    </w:p>
    <w:p>
      <w:pPr>
        <w:adjustRightInd w:val="0"/>
        <w:snapToGrid w:val="0"/>
        <w:spacing w:line="360" w:lineRule="auto"/>
        <w:ind w:firstLine="411" w:firstLineChars="196"/>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（6）乙方或其工作人员不具备或丧失相应资质。</w:t>
      </w:r>
    </w:p>
    <w:p>
      <w:pPr>
        <w:adjustRightInd w:val="0"/>
        <w:snapToGrid w:val="0"/>
        <w:spacing w:line="360" w:lineRule="auto"/>
        <w:ind w:firstLine="411" w:firstLineChars="196"/>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9．如乙方未履行或不完全履行本合同约定的乙方责任，除本合同有明确约定外，甲方有权视情节轻重要求乙方每次按合同总价2%-5%的标准支付违约金，并按甲方要求及时纠正。情节严重或重复违约的，甲方有权解除合同。</w:t>
      </w:r>
    </w:p>
    <w:p>
      <w:pPr>
        <w:adjustRightInd w:val="0"/>
        <w:snapToGrid w:val="0"/>
        <w:spacing w:line="360" w:lineRule="auto"/>
        <w:ind w:firstLine="411" w:firstLineChars="196"/>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10.乙方无法定或约定事由解除合同，或甲方因乙方违约解除合同的，甲方按照乙方实际完成并经甲方书面确认的合格工作量结算，且甲方有权要求乙方支付本合同总价20%的违约金。</w:t>
      </w:r>
    </w:p>
    <w:p>
      <w:pPr>
        <w:adjustRightInd w:val="0"/>
        <w:snapToGrid w:val="0"/>
        <w:spacing w:line="360" w:lineRule="auto"/>
        <w:ind w:firstLine="411" w:firstLineChars="196"/>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11.本合同及甲方的相关管理规定中对违约金的约定不一致的，甲方有权选择按较高者执行。</w:t>
      </w:r>
    </w:p>
    <w:p>
      <w:pPr>
        <w:adjustRightInd w:val="0"/>
        <w:snapToGrid w:val="0"/>
        <w:spacing w:line="360" w:lineRule="auto"/>
        <w:ind w:firstLine="411" w:firstLineChars="196"/>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12. 乙方所支付的违约金不足弥补甲方实际损失的，乙方还应赔偿。本合同所称乙方应承担的违约金和赔偿金，甲方有权从应付款项中扣除。</w:t>
      </w:r>
    </w:p>
    <w:p>
      <w:pPr>
        <w:adjustRightInd w:val="0"/>
        <w:snapToGrid w:val="0"/>
        <w:spacing w:line="360" w:lineRule="auto"/>
        <w:ind w:firstLine="411" w:firstLineChars="196"/>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13.本合同约定的赔偿责任包括但不限于合理的律师费、诉讼或仲裁费、差旅费、评估费、鉴定费、赔偿款、保全费、执行费。</w:t>
      </w:r>
    </w:p>
    <w:p>
      <w:pPr>
        <w:adjustRightInd w:val="0"/>
        <w:snapToGrid w:val="0"/>
        <w:spacing w:line="360" w:lineRule="auto"/>
        <w:ind w:firstLine="422" w:firstLineChars="200"/>
        <w:jc w:val="left"/>
        <w:rPr>
          <w:rFonts w:hint="eastAsia" w:ascii="仿宋_GB2312" w:hAnsi="仿宋_GB2312" w:eastAsia="仿宋_GB2312" w:cs="仿宋_GB2312"/>
          <w:color w:val="auto"/>
          <w:szCs w:val="21"/>
        </w:rPr>
      </w:pPr>
      <w:r>
        <w:rPr>
          <w:rFonts w:hint="eastAsia" w:ascii="仿宋_GB2312" w:hAnsi="仿宋_GB2312" w:eastAsia="仿宋_GB2312" w:cs="仿宋_GB2312"/>
          <w:b/>
          <w:color w:val="auto"/>
          <w:szCs w:val="21"/>
          <w:lang w:val="en-US" w:eastAsia="zh-CN"/>
        </w:rPr>
        <w:t>八</w:t>
      </w:r>
      <w:r>
        <w:rPr>
          <w:rFonts w:hint="eastAsia" w:ascii="仿宋_GB2312" w:hAnsi="仿宋_GB2312" w:eastAsia="仿宋_GB2312" w:cs="仿宋_GB2312"/>
          <w:b/>
          <w:color w:val="auto"/>
          <w:szCs w:val="21"/>
        </w:rPr>
        <w:t>、</w:t>
      </w:r>
      <w:r>
        <w:rPr>
          <w:rFonts w:hint="eastAsia" w:ascii="仿宋_GB2312" w:hAnsi="仿宋_GB2312" w:eastAsia="仿宋_GB2312" w:cs="仿宋_GB2312"/>
          <w:b/>
          <w:color w:val="auto"/>
          <w:szCs w:val="21"/>
          <w:lang w:val="en-US" w:eastAsia="zh-CN"/>
        </w:rPr>
        <w:t>保密条款</w:t>
      </w:r>
    </w:p>
    <w:p>
      <w:pPr>
        <w:adjustRightInd w:val="0"/>
        <w:snapToGrid w:val="0"/>
        <w:spacing w:line="360" w:lineRule="auto"/>
        <w:ind w:firstLine="411" w:firstLineChars="196"/>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1.对本合同工作成果、</w:t>
      </w:r>
      <w:r>
        <w:rPr>
          <w:rFonts w:hint="eastAsia" w:ascii="仿宋_GB2312" w:hAnsi="仿宋_GB2312" w:eastAsia="仿宋_GB2312" w:cs="仿宋_GB2312"/>
          <w:color w:val="auto"/>
          <w:szCs w:val="21"/>
          <w:lang w:val="en-US" w:eastAsia="zh-CN"/>
        </w:rPr>
        <w:t>甲方</w:t>
      </w:r>
      <w:r>
        <w:rPr>
          <w:rFonts w:hint="eastAsia" w:ascii="仿宋_GB2312" w:hAnsi="仿宋_GB2312" w:eastAsia="仿宋_GB2312" w:cs="仿宋_GB2312"/>
          <w:color w:val="auto"/>
          <w:szCs w:val="21"/>
        </w:rPr>
        <w:t>提供资料以及其它在签订或履行合同过程中所获取的</w:t>
      </w:r>
      <w:r>
        <w:rPr>
          <w:rFonts w:hint="eastAsia" w:ascii="仿宋_GB2312" w:hAnsi="仿宋_GB2312" w:eastAsia="仿宋_GB2312" w:cs="仿宋_GB2312"/>
          <w:color w:val="auto"/>
          <w:szCs w:val="21"/>
          <w:lang w:val="en-US" w:eastAsia="zh-CN"/>
        </w:rPr>
        <w:t>甲</w:t>
      </w:r>
      <w:r>
        <w:rPr>
          <w:rFonts w:hint="eastAsia" w:ascii="仿宋_GB2312" w:hAnsi="仿宋_GB2312" w:eastAsia="仿宋_GB2312" w:cs="仿宋_GB2312"/>
          <w:color w:val="auto"/>
          <w:szCs w:val="21"/>
        </w:rPr>
        <w:t>方非公开资料（包括本合同内容），</w:t>
      </w:r>
      <w:r>
        <w:rPr>
          <w:rFonts w:hint="eastAsia" w:ascii="仿宋_GB2312" w:hAnsi="仿宋_GB2312" w:eastAsia="仿宋_GB2312" w:cs="仿宋_GB2312"/>
          <w:color w:val="auto"/>
          <w:szCs w:val="21"/>
          <w:lang w:val="en-US" w:eastAsia="zh-CN"/>
        </w:rPr>
        <w:t>乙</w:t>
      </w:r>
      <w:r>
        <w:rPr>
          <w:rFonts w:hint="eastAsia" w:ascii="仿宋_GB2312" w:hAnsi="仿宋_GB2312" w:eastAsia="仿宋_GB2312" w:cs="仿宋_GB2312"/>
          <w:color w:val="auto"/>
          <w:szCs w:val="21"/>
        </w:rPr>
        <w:t>方负有保密义务。未经</w:t>
      </w:r>
      <w:r>
        <w:rPr>
          <w:rFonts w:hint="eastAsia" w:ascii="仿宋_GB2312" w:hAnsi="仿宋_GB2312" w:eastAsia="仿宋_GB2312" w:cs="仿宋_GB2312"/>
          <w:color w:val="auto"/>
          <w:szCs w:val="21"/>
          <w:lang w:val="en-US" w:eastAsia="zh-CN"/>
        </w:rPr>
        <w:t>甲</w:t>
      </w:r>
      <w:r>
        <w:rPr>
          <w:rFonts w:hint="eastAsia" w:ascii="仿宋_GB2312" w:hAnsi="仿宋_GB2312" w:eastAsia="仿宋_GB2312" w:cs="仿宋_GB2312"/>
          <w:color w:val="auto"/>
          <w:szCs w:val="21"/>
        </w:rPr>
        <w:t>方书面同意，</w:t>
      </w:r>
      <w:r>
        <w:rPr>
          <w:rFonts w:hint="eastAsia" w:ascii="仿宋_GB2312" w:hAnsi="仿宋_GB2312" w:eastAsia="仿宋_GB2312" w:cs="仿宋_GB2312"/>
          <w:color w:val="auto"/>
          <w:szCs w:val="21"/>
          <w:lang w:val="en-US" w:eastAsia="zh-CN"/>
        </w:rPr>
        <w:t>乙</w:t>
      </w:r>
      <w:r>
        <w:rPr>
          <w:rFonts w:hint="eastAsia" w:ascii="仿宋_GB2312" w:hAnsi="仿宋_GB2312" w:eastAsia="仿宋_GB2312" w:cs="仿宋_GB2312"/>
          <w:color w:val="auto"/>
          <w:szCs w:val="21"/>
        </w:rPr>
        <w:t>方及其工作人员不得将上述资料复制、泄露、公开、转让或使用于本合同之外的其它用途。否则，</w:t>
      </w:r>
      <w:r>
        <w:rPr>
          <w:rFonts w:hint="eastAsia" w:ascii="仿宋_GB2312" w:hAnsi="仿宋_GB2312" w:eastAsia="仿宋_GB2312" w:cs="仿宋_GB2312"/>
          <w:color w:val="auto"/>
          <w:szCs w:val="21"/>
          <w:lang w:val="en-US" w:eastAsia="zh-CN"/>
        </w:rPr>
        <w:t>甲方</w:t>
      </w:r>
      <w:r>
        <w:rPr>
          <w:rFonts w:hint="eastAsia" w:ascii="仿宋_GB2312" w:hAnsi="仿宋_GB2312" w:eastAsia="仿宋_GB2312" w:cs="仿宋_GB2312"/>
          <w:color w:val="auto"/>
          <w:szCs w:val="21"/>
        </w:rPr>
        <w:t>有权要求</w:t>
      </w:r>
      <w:r>
        <w:rPr>
          <w:rFonts w:hint="eastAsia" w:ascii="仿宋_GB2312" w:hAnsi="仿宋_GB2312" w:eastAsia="仿宋_GB2312" w:cs="仿宋_GB2312"/>
          <w:color w:val="auto"/>
          <w:szCs w:val="21"/>
          <w:lang w:val="en-US" w:eastAsia="zh-CN"/>
        </w:rPr>
        <w:t>乙</w:t>
      </w:r>
      <w:r>
        <w:rPr>
          <w:rFonts w:hint="eastAsia" w:ascii="仿宋_GB2312" w:hAnsi="仿宋_GB2312" w:eastAsia="仿宋_GB2312" w:cs="仿宋_GB2312"/>
          <w:color w:val="auto"/>
          <w:szCs w:val="21"/>
        </w:rPr>
        <w:t xml:space="preserve">方赔偿一切损失。  </w:t>
      </w:r>
    </w:p>
    <w:p>
      <w:pPr>
        <w:adjustRightInd w:val="0"/>
        <w:snapToGrid w:val="0"/>
        <w:spacing w:line="360" w:lineRule="auto"/>
        <w:ind w:firstLine="411" w:firstLineChars="196"/>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2</w:t>
      </w:r>
      <w:r>
        <w:rPr>
          <w:rFonts w:hint="eastAsia" w:ascii="仿宋_GB2312" w:hAnsi="仿宋_GB2312" w:eastAsia="仿宋_GB2312" w:cs="仿宋_GB2312"/>
          <w:color w:val="auto"/>
          <w:szCs w:val="21"/>
        </w:rPr>
        <w:t>.本条约定长期有效，不受本合同终止及效力的约束。</w:t>
      </w:r>
    </w:p>
    <w:p>
      <w:pPr>
        <w:numPr>
          <w:ilvl w:val="0"/>
          <w:numId w:val="0"/>
        </w:numPr>
        <w:adjustRightInd w:val="0"/>
        <w:snapToGrid w:val="0"/>
        <w:spacing w:line="360" w:lineRule="auto"/>
        <w:ind w:firstLine="421" w:firstLineChars="0"/>
        <w:jc w:val="left"/>
        <w:rPr>
          <w:rFonts w:hint="default" w:ascii="仿宋_GB2312" w:hAnsi="仿宋_GB2312" w:eastAsia="仿宋_GB2312" w:cs="仿宋_GB2312"/>
          <w:b/>
          <w:color w:val="auto"/>
          <w:szCs w:val="21"/>
          <w:lang w:val="en-US" w:eastAsia="zh-CN"/>
        </w:rPr>
      </w:pPr>
      <w:r>
        <w:rPr>
          <w:rFonts w:hint="eastAsia" w:ascii="仿宋_GB2312" w:hAnsi="仿宋_GB2312" w:eastAsia="仿宋_GB2312" w:cs="仿宋_GB2312"/>
          <w:b/>
          <w:color w:val="auto"/>
          <w:kern w:val="2"/>
          <w:sz w:val="21"/>
          <w:szCs w:val="21"/>
          <w:lang w:val="en-US" w:eastAsia="zh-CN" w:bidi="ar-SA"/>
        </w:rPr>
        <w:t>九、知识产权及合法性条款</w:t>
      </w:r>
    </w:p>
    <w:p>
      <w:pPr>
        <w:adjustRightInd w:val="0"/>
        <w:snapToGrid w:val="0"/>
        <w:spacing w:line="360" w:lineRule="auto"/>
        <w:ind w:firstLine="411" w:firstLineChars="196"/>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1．非经甲方书面同意，乙方不得撤回所提交的任何工作成果。经甲方认可的工作成果，其知识产权归甲方所有。未经甲方书面同意，乙方无权将所涉及的工作成果使用于本合同之外的任何其它目的，否则须承担由此引发的一切后果并承担赔偿责任。本约定不受本合同终止约束。</w:t>
      </w:r>
    </w:p>
    <w:p>
      <w:pPr>
        <w:adjustRightInd w:val="0"/>
        <w:snapToGrid w:val="0"/>
        <w:spacing w:line="360" w:lineRule="auto"/>
        <w:ind w:firstLine="411" w:firstLineChars="196"/>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2．乙方应确保其履行本合同（包括但不限于提交的任何资料、文件、成果及所使用的技术、专利等）未侵犯第三方合法权益，并保证甲方免受任何第三方的索赔或诉讼。若乙方合同履行过程中使用他人的专利、专有技术等，乙方应自行承担相关费用。因违反本条产生的一切纠纷，由乙方负责解决，并承担全部赔偿责任。本约定长期有效，不受本合同终止及效力约束。</w:t>
      </w:r>
    </w:p>
    <w:p>
      <w:pPr>
        <w:numPr>
          <w:ilvl w:val="0"/>
          <w:numId w:val="0"/>
        </w:numPr>
        <w:adjustRightInd w:val="0"/>
        <w:snapToGrid w:val="0"/>
        <w:spacing w:line="360" w:lineRule="auto"/>
        <w:ind w:firstLine="421" w:firstLineChars="0"/>
        <w:jc w:val="left"/>
        <w:rPr>
          <w:rFonts w:ascii="仿宋_GB2312" w:hAnsi="仿宋_GB2312" w:eastAsia="仿宋_GB2312" w:cs="仿宋_GB2312"/>
          <w:b/>
          <w:color w:val="auto"/>
          <w:szCs w:val="21"/>
        </w:rPr>
      </w:pPr>
      <w:r>
        <w:rPr>
          <w:rFonts w:hint="eastAsia" w:ascii="仿宋_GB2312" w:hAnsi="仿宋_GB2312" w:eastAsia="仿宋_GB2312" w:cs="仿宋_GB2312"/>
          <w:b/>
          <w:color w:val="auto"/>
          <w:kern w:val="2"/>
          <w:sz w:val="21"/>
          <w:szCs w:val="21"/>
          <w:lang w:val="en-US" w:eastAsia="zh-CN" w:bidi="ar-SA"/>
        </w:rPr>
        <w:t>十、</w:t>
      </w:r>
      <w:r>
        <w:rPr>
          <w:rFonts w:hint="eastAsia" w:ascii="仿宋_GB2312" w:hAnsi="仿宋_GB2312" w:eastAsia="仿宋_GB2312" w:cs="仿宋_GB2312"/>
          <w:b/>
          <w:color w:val="auto"/>
          <w:szCs w:val="21"/>
        </w:rPr>
        <w:t>合同纠纷争议解决</w:t>
      </w:r>
    </w:p>
    <w:p>
      <w:pPr>
        <w:adjustRightInd w:val="0"/>
        <w:snapToGrid w:val="0"/>
        <w:spacing w:line="360" w:lineRule="auto"/>
        <w:ind w:firstLine="411" w:firstLineChars="196"/>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如在合同履行过程中发生争议或纠纷，应先由双方友好协商解决；如未能协商解决处理的，则提交甲方所在地有管辖权的人民法院诉讼解决；诉讼中守约方因此产生的诉讼费、调查费、律师费等均由败诉方承担。在争议的处理过程中，除正在进行诉讼的部分外，合同的其它部分将继续履行。</w:t>
      </w:r>
    </w:p>
    <w:p>
      <w:pPr>
        <w:adjustRightInd w:val="0"/>
        <w:snapToGrid w:val="0"/>
        <w:spacing w:line="360" w:lineRule="auto"/>
        <w:ind w:firstLine="413" w:firstLineChars="196"/>
        <w:rPr>
          <w:rFonts w:hint="eastAsia" w:ascii="仿宋_GB2312" w:hAnsi="仿宋_GB2312" w:eastAsia="仿宋_GB2312" w:cs="仿宋_GB2312"/>
          <w:b/>
          <w:bCs/>
          <w:color w:val="auto"/>
          <w:szCs w:val="21"/>
          <w:lang w:val="en-US" w:eastAsia="zh-CN"/>
        </w:rPr>
      </w:pPr>
      <w:r>
        <w:rPr>
          <w:rFonts w:hint="eastAsia" w:ascii="仿宋_GB2312" w:hAnsi="仿宋_GB2312" w:eastAsia="仿宋_GB2312" w:cs="仿宋_GB2312"/>
          <w:b/>
          <w:bCs/>
          <w:color w:val="auto"/>
          <w:szCs w:val="21"/>
          <w:lang w:val="en-US" w:eastAsia="zh-CN"/>
        </w:rPr>
        <w:t>十一、不可抗力</w:t>
      </w:r>
    </w:p>
    <w:p>
      <w:pPr>
        <w:adjustRightInd w:val="0"/>
        <w:snapToGrid w:val="0"/>
        <w:spacing w:line="360" w:lineRule="auto"/>
        <w:ind w:firstLine="411" w:firstLineChars="196"/>
        <w:rPr>
          <w:rFonts w:hint="eastAsia" w:ascii="仿宋_GB2312" w:hAnsi="仿宋_GB2312" w:eastAsia="仿宋_GB2312" w:cs="仿宋_GB2312"/>
          <w:b w:val="0"/>
          <w:bCs w:val="0"/>
          <w:color w:val="auto"/>
          <w:szCs w:val="21"/>
          <w:lang w:val="en-US" w:eastAsia="zh-CN"/>
        </w:rPr>
      </w:pPr>
      <w:r>
        <w:rPr>
          <w:rFonts w:hint="eastAsia" w:ascii="仿宋_GB2312" w:hAnsi="仿宋_GB2312" w:eastAsia="仿宋_GB2312" w:cs="仿宋_GB2312"/>
          <w:b w:val="0"/>
          <w:bCs w:val="0"/>
          <w:color w:val="auto"/>
          <w:szCs w:val="21"/>
          <w:lang w:val="en-US" w:eastAsia="zh-CN"/>
        </w:rPr>
        <w:t>1.遇有不可抗力事件的，受到该事件影响的一方，应立即将事件情况通知对方，并在可对外联系之日起 5 日内提供对方认可的证明文件。按照事件对履行合同的影响程度，由双方协商决定是否延期履行合同，或部分免除履行合同义务，或解除本合同。</w:t>
      </w:r>
    </w:p>
    <w:p>
      <w:pPr>
        <w:adjustRightInd w:val="0"/>
        <w:snapToGrid w:val="0"/>
        <w:spacing w:line="360" w:lineRule="auto"/>
        <w:ind w:firstLine="411" w:firstLineChars="196"/>
        <w:rPr>
          <w:rFonts w:hint="eastAsia" w:ascii="仿宋_GB2312" w:hAnsi="仿宋_GB2312" w:eastAsia="仿宋_GB2312" w:cs="仿宋_GB2312"/>
          <w:b w:val="0"/>
          <w:bCs w:val="0"/>
          <w:color w:val="auto"/>
          <w:szCs w:val="21"/>
          <w:lang w:val="en-US" w:eastAsia="zh-CN"/>
        </w:rPr>
      </w:pPr>
      <w:r>
        <w:rPr>
          <w:rFonts w:hint="eastAsia" w:ascii="仿宋_GB2312" w:hAnsi="仿宋_GB2312" w:eastAsia="仿宋_GB2312" w:cs="仿宋_GB2312"/>
          <w:b w:val="0"/>
          <w:bCs w:val="0"/>
          <w:color w:val="auto"/>
          <w:szCs w:val="21"/>
          <w:lang w:val="en-US" w:eastAsia="zh-CN"/>
        </w:rPr>
        <w:t>2.本合同所称的“不可抗力事件”是指：因战争、七级（含）以上地震、台风、火灾而导致一方不能履行合同或延迟履行合同的事件。</w:t>
      </w:r>
    </w:p>
    <w:p>
      <w:pPr>
        <w:adjustRightInd w:val="0"/>
        <w:snapToGrid w:val="0"/>
        <w:spacing w:line="360" w:lineRule="auto"/>
        <w:ind w:firstLine="413" w:firstLineChars="196"/>
        <w:rPr>
          <w:rFonts w:ascii="仿宋_GB2312" w:hAnsi="仿宋_GB2312" w:eastAsia="仿宋_GB2312" w:cs="仿宋_GB2312"/>
          <w:color w:val="auto"/>
          <w:szCs w:val="21"/>
        </w:rPr>
      </w:pPr>
      <w:r>
        <w:rPr>
          <w:rFonts w:hint="eastAsia" w:ascii="仿宋_GB2312" w:hAnsi="仿宋_GB2312" w:eastAsia="仿宋_GB2312" w:cs="仿宋_GB2312"/>
          <w:b/>
          <w:color w:val="auto"/>
          <w:szCs w:val="21"/>
          <w:lang w:val="en-US" w:eastAsia="zh-CN"/>
        </w:rPr>
        <w:t>十二、</w:t>
      </w:r>
      <w:r>
        <w:rPr>
          <w:rFonts w:hint="eastAsia" w:ascii="仿宋_GB2312" w:hAnsi="仿宋_GB2312" w:eastAsia="仿宋_GB2312" w:cs="仿宋_GB2312"/>
          <w:b/>
          <w:color w:val="auto"/>
          <w:szCs w:val="21"/>
        </w:rPr>
        <w:t>其他</w:t>
      </w:r>
    </w:p>
    <w:p>
      <w:pPr>
        <w:adjustRightInd w:val="0"/>
        <w:snapToGrid w:val="0"/>
        <w:spacing w:line="360" w:lineRule="auto"/>
        <w:ind w:firstLine="411" w:firstLineChars="196"/>
        <w:rPr>
          <w:rFonts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1.</w:t>
      </w:r>
      <w:r>
        <w:rPr>
          <w:rFonts w:hint="eastAsia" w:ascii="仿宋_GB2312" w:hAnsi="仿宋_GB2312" w:eastAsia="仿宋_GB2312" w:cs="仿宋_GB2312"/>
          <w:color w:val="auto"/>
          <w:szCs w:val="21"/>
        </w:rPr>
        <w:t>本合同未尽事宜按《中华人民共和国民法典》之有关规定办理，未作规定的由双方另行协商解决，协商后签订的书面补充协议或条款作为本合同附件，与本合同条款具有同等法律效力。</w:t>
      </w:r>
    </w:p>
    <w:p>
      <w:pPr>
        <w:adjustRightInd w:val="0"/>
        <w:snapToGrid w:val="0"/>
        <w:spacing w:line="360" w:lineRule="auto"/>
        <w:ind w:firstLine="411" w:firstLineChars="196"/>
        <w:rPr>
          <w:rFonts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2.</w:t>
      </w:r>
      <w:r>
        <w:rPr>
          <w:rFonts w:hint="eastAsia" w:ascii="仿宋_GB2312" w:hAnsi="仿宋_GB2312" w:eastAsia="仿宋_GB2312" w:cs="仿宋_GB2312"/>
          <w:color w:val="auto"/>
          <w:szCs w:val="21"/>
        </w:rPr>
        <w:t>本合同履行期限：合同条款履约完成，合同将自行终止。</w:t>
      </w:r>
    </w:p>
    <w:p>
      <w:pPr>
        <w:adjustRightInd w:val="0"/>
        <w:snapToGrid w:val="0"/>
        <w:spacing w:line="360" w:lineRule="auto"/>
        <w:ind w:firstLine="411" w:firstLineChars="196"/>
        <w:rPr>
          <w:rFonts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3.</w:t>
      </w:r>
      <w:r>
        <w:rPr>
          <w:rFonts w:hint="eastAsia" w:ascii="仿宋_GB2312" w:hAnsi="仿宋_GB2312" w:eastAsia="仿宋_GB2312" w:cs="仿宋_GB2312"/>
          <w:color w:val="auto"/>
          <w:szCs w:val="21"/>
        </w:rPr>
        <w:t>甲乙双方的联系地址为各方在履行本合同期间的固定通讯地址。一方未在本合同中载明送达地址的，则视为其认可工商注册地址或户籍登记地址为有效送达地址。双方约定的送达地址适用范围包括双方非诉时各类通知、协议等文件以及就合同发生纠纷时相关文件和法律文书的送达，同时包括在争议进入仲裁、民事诉讼程序后的一审、二审、再审和执行程序。一方如果迁址或者变更联系方式的，应当书面通知对方。未履行通知义务的，另一方按原地址邮寄相关材料即视为已履行送达义务；当面交付上述材料的，在交付之时视为送达；以特快专递（指EMS）或顺丰速运方式交付的，寄出后三日即视为送达（签收日较早的，以签收日为准）。</w:t>
      </w:r>
    </w:p>
    <w:p>
      <w:pPr>
        <w:adjustRightInd w:val="0"/>
        <w:snapToGrid w:val="0"/>
        <w:spacing w:line="360" w:lineRule="auto"/>
        <w:ind w:firstLine="411" w:firstLineChars="196"/>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4.</w:t>
      </w:r>
      <w:r>
        <w:rPr>
          <w:rFonts w:hint="eastAsia" w:ascii="仿宋_GB2312" w:hAnsi="仿宋_GB2312" w:eastAsia="仿宋_GB2312" w:cs="仿宋_GB2312"/>
          <w:color w:val="auto"/>
          <w:szCs w:val="21"/>
        </w:rPr>
        <w:t>合同自双方</w:t>
      </w:r>
      <w:r>
        <w:rPr>
          <w:rFonts w:hint="eastAsia" w:ascii="仿宋_GB2312" w:hAnsi="仿宋_GB2312" w:eastAsia="仿宋_GB2312" w:cs="仿宋_GB2312"/>
          <w:color w:val="auto"/>
          <w:szCs w:val="21"/>
          <w:lang w:val="en-US" w:eastAsia="zh-CN"/>
        </w:rPr>
        <w:t>法定</w:t>
      </w:r>
      <w:r>
        <w:rPr>
          <w:rFonts w:hint="eastAsia" w:ascii="仿宋_GB2312" w:hAnsi="仿宋_GB2312" w:eastAsia="仿宋_GB2312" w:cs="仿宋_GB2312"/>
          <w:color w:val="auto"/>
          <w:szCs w:val="21"/>
        </w:rPr>
        <w:t>代表</w:t>
      </w:r>
      <w:r>
        <w:rPr>
          <w:rFonts w:hint="eastAsia" w:ascii="仿宋_GB2312" w:hAnsi="仿宋_GB2312" w:eastAsia="仿宋_GB2312" w:cs="仿宋_GB2312"/>
          <w:color w:val="auto"/>
          <w:szCs w:val="21"/>
          <w:lang w:val="en-US" w:eastAsia="zh-CN"/>
        </w:rPr>
        <w:t>人</w:t>
      </w:r>
      <w:r>
        <w:rPr>
          <w:rFonts w:hint="eastAsia" w:ascii="仿宋_GB2312" w:hAnsi="仿宋_GB2312" w:eastAsia="仿宋_GB2312" w:cs="仿宋_GB2312"/>
          <w:color w:val="auto"/>
          <w:szCs w:val="21"/>
        </w:rPr>
        <w:t>或授权代表签字并加盖公章或合同专用章之日生效。</w:t>
      </w:r>
    </w:p>
    <w:p>
      <w:pPr>
        <w:adjustRightInd w:val="0"/>
        <w:snapToGrid w:val="0"/>
        <w:spacing w:line="360" w:lineRule="auto"/>
        <w:ind w:firstLine="411" w:firstLineChars="196"/>
        <w:rPr>
          <w:rFonts w:ascii="仿宋_GB2312" w:hAnsi="仿宋_GB2312" w:cs="仿宋_GB2312"/>
          <w:color w:val="auto"/>
          <w:szCs w:val="21"/>
        </w:rPr>
      </w:pPr>
      <w:r>
        <w:rPr>
          <w:rFonts w:hint="eastAsia" w:ascii="仿宋_GB2312" w:hAnsi="仿宋_GB2312" w:eastAsia="仿宋_GB2312" w:cs="仿宋_GB2312"/>
          <w:color w:val="auto"/>
          <w:szCs w:val="21"/>
          <w:lang w:val="en-US" w:eastAsia="zh-CN"/>
        </w:rPr>
        <w:t>5.</w:t>
      </w:r>
      <w:r>
        <w:rPr>
          <w:rFonts w:hint="eastAsia" w:ascii="仿宋_GB2312" w:hAnsi="仿宋_GB2312" w:eastAsia="仿宋_GB2312" w:cs="仿宋_GB2312"/>
          <w:color w:val="auto"/>
          <w:szCs w:val="21"/>
        </w:rPr>
        <w:t>本合同一式</w:t>
      </w:r>
      <w:r>
        <w:rPr>
          <w:rFonts w:hint="eastAsia" w:ascii="仿宋_GB2312" w:hAnsi="仿宋_GB2312" w:eastAsia="仿宋_GB2312" w:cs="仿宋_GB2312"/>
          <w:color w:val="auto"/>
          <w:szCs w:val="21"/>
          <w:u w:val="single"/>
          <w:lang w:val="en-US" w:eastAsia="zh-CN"/>
        </w:rPr>
        <w:t>肆</w:t>
      </w:r>
      <w:r>
        <w:rPr>
          <w:rFonts w:hint="eastAsia" w:ascii="仿宋_GB2312" w:hAnsi="仿宋_GB2312" w:eastAsia="仿宋_GB2312" w:cs="仿宋_GB2312"/>
          <w:color w:val="auto"/>
          <w:szCs w:val="21"/>
        </w:rPr>
        <w:t>份，甲方执</w:t>
      </w:r>
      <w:r>
        <w:rPr>
          <w:rFonts w:hint="eastAsia" w:ascii="仿宋_GB2312" w:hAnsi="仿宋_GB2312" w:eastAsia="仿宋_GB2312" w:cs="仿宋_GB2312"/>
          <w:color w:val="auto"/>
          <w:szCs w:val="21"/>
          <w:u w:val="single"/>
          <w:lang w:val="en-US" w:eastAsia="zh-CN"/>
        </w:rPr>
        <w:t>贰</w:t>
      </w:r>
      <w:r>
        <w:rPr>
          <w:rFonts w:hint="eastAsia" w:ascii="仿宋_GB2312" w:hAnsi="仿宋_GB2312" w:eastAsia="仿宋_GB2312" w:cs="仿宋_GB2312"/>
          <w:color w:val="auto"/>
          <w:szCs w:val="21"/>
        </w:rPr>
        <w:t>份，乙方执</w:t>
      </w:r>
      <w:r>
        <w:rPr>
          <w:rFonts w:hint="eastAsia" w:ascii="仿宋_GB2312" w:hAnsi="仿宋_GB2312" w:eastAsia="仿宋_GB2312" w:cs="仿宋_GB2312"/>
          <w:color w:val="auto"/>
          <w:szCs w:val="21"/>
          <w:u w:val="single"/>
          <w:lang w:val="en-US" w:eastAsia="zh-CN"/>
        </w:rPr>
        <w:t>贰</w:t>
      </w:r>
      <w:r>
        <w:rPr>
          <w:rFonts w:hint="eastAsia" w:ascii="仿宋_GB2312" w:hAnsi="仿宋_GB2312" w:eastAsia="仿宋_GB2312" w:cs="仿宋_GB2312"/>
          <w:color w:val="auto"/>
          <w:szCs w:val="21"/>
        </w:rPr>
        <w:t>，均具有同等法律效力。</w:t>
      </w:r>
    </w:p>
    <w:p>
      <w:pPr>
        <w:pStyle w:val="24"/>
        <w:rPr>
          <w:color w:val="auto"/>
        </w:rPr>
      </w:pPr>
      <w:r>
        <w:rPr>
          <w:rFonts w:hint="eastAsia" w:ascii="仿宋_GB2312" w:hAnsi="仿宋_GB2312" w:eastAsia="仿宋_GB2312" w:cs="仿宋_GB2312"/>
          <w:b w:val="0"/>
          <w:bCs/>
          <w:color w:val="auto"/>
          <w:kern w:val="2"/>
          <w:sz w:val="21"/>
          <w:szCs w:val="21"/>
          <w:lang w:val="en-US" w:eastAsia="zh-CN" w:bidi="ar-SA"/>
        </w:rPr>
        <w:t>6．本合同签订于广东省肇庆市端州区。</w:t>
      </w:r>
    </w:p>
    <w:p>
      <w:pPr>
        <w:adjustRightInd w:val="0"/>
        <w:snapToGrid w:val="0"/>
        <w:spacing w:line="360" w:lineRule="auto"/>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附件：</w:t>
      </w:r>
      <w:r>
        <w:rPr>
          <w:rFonts w:hint="eastAsia" w:ascii="仿宋_GB2312" w:hAnsi="仿宋_GB2312" w:eastAsia="仿宋_GB2312" w:cs="仿宋_GB2312"/>
          <w:color w:val="auto"/>
          <w:szCs w:val="21"/>
          <w:lang w:val="en-US" w:eastAsia="zh-CN"/>
        </w:rPr>
        <w:t>1</w:t>
      </w:r>
      <w:r>
        <w:rPr>
          <w:rFonts w:hint="eastAsia" w:ascii="仿宋_GB2312" w:hAnsi="仿宋_GB2312" w:eastAsia="仿宋_GB2312" w:cs="仿宋_GB2312"/>
          <w:color w:val="auto"/>
          <w:szCs w:val="21"/>
        </w:rPr>
        <w:t>、廉洁从业</w:t>
      </w:r>
      <w:r>
        <w:rPr>
          <w:rFonts w:hint="eastAsia" w:ascii="仿宋_GB2312" w:hAnsi="仿宋_GB2312" w:eastAsia="仿宋_GB2312" w:cs="仿宋_GB2312"/>
          <w:color w:val="auto"/>
          <w:szCs w:val="21"/>
          <w:lang w:val="en-US" w:eastAsia="zh-CN"/>
        </w:rPr>
        <w:t>承诺</w:t>
      </w:r>
      <w:r>
        <w:rPr>
          <w:rFonts w:hint="eastAsia" w:ascii="仿宋_GB2312" w:hAnsi="仿宋_GB2312" w:eastAsia="仿宋_GB2312" w:cs="仿宋_GB2312"/>
          <w:color w:val="auto"/>
          <w:szCs w:val="21"/>
        </w:rPr>
        <w:t>书。</w:t>
      </w:r>
    </w:p>
    <w:p>
      <w:pPr>
        <w:adjustRightInd w:val="0"/>
        <w:snapToGrid w:val="0"/>
        <w:spacing w:line="360" w:lineRule="auto"/>
        <w:rPr>
          <w:rFonts w:ascii="仿宋_GB2312" w:hAnsi="仿宋_GB2312" w:eastAsia="仿宋_GB2312" w:cs="仿宋_GB2312"/>
          <w:color w:val="auto"/>
          <w:szCs w:val="21"/>
        </w:rPr>
      </w:pPr>
    </w:p>
    <w:p>
      <w:pPr>
        <w:adjustRightInd w:val="0"/>
        <w:snapToGrid w:val="0"/>
        <w:spacing w:line="360" w:lineRule="auto"/>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甲方（公章）：</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 xml:space="preserve">        乙方(公章)：</w:t>
      </w:r>
      <w:r>
        <w:rPr>
          <w:rFonts w:hint="eastAsia" w:ascii="仿宋_GB2312" w:hAnsi="仿宋_GB2312" w:eastAsia="仿宋_GB2312" w:cs="仿宋_GB2312"/>
          <w:color w:val="auto"/>
          <w:szCs w:val="21"/>
          <w:u w:val="single"/>
        </w:rPr>
        <w:t xml:space="preserve">                     </w:t>
      </w:r>
    </w:p>
    <w:p>
      <w:pPr>
        <w:adjustRightInd w:val="0"/>
        <w:snapToGrid w:val="0"/>
        <w:spacing w:line="360" w:lineRule="auto"/>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法定代表人或授权代表人(签字):</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 xml:space="preserve">        法定代表人或授权代表人(签字):</w:t>
      </w:r>
      <w:r>
        <w:rPr>
          <w:rFonts w:hint="eastAsia" w:ascii="仿宋_GB2312" w:hAnsi="仿宋_GB2312" w:eastAsia="仿宋_GB2312" w:cs="仿宋_GB2312"/>
          <w:color w:val="auto"/>
          <w:szCs w:val="21"/>
          <w:u w:val="single"/>
        </w:rPr>
        <w:t xml:space="preserve">     </w:t>
      </w:r>
    </w:p>
    <w:p>
      <w:pPr>
        <w:adjustRightInd w:val="0"/>
        <w:snapToGrid w:val="0"/>
        <w:spacing w:line="360" w:lineRule="auto"/>
        <w:rPr>
          <w:rFonts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地址：</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 xml:space="preserve">        地址：</w:t>
      </w:r>
      <w:r>
        <w:rPr>
          <w:rFonts w:hint="eastAsia" w:ascii="仿宋_GB2312" w:hAnsi="仿宋_GB2312" w:eastAsia="仿宋_GB2312" w:cs="仿宋_GB2312"/>
          <w:color w:val="auto"/>
          <w:szCs w:val="21"/>
          <w:u w:val="single"/>
        </w:rPr>
        <w:t xml:space="preserve">                            </w:t>
      </w:r>
    </w:p>
    <w:p>
      <w:pPr>
        <w:adjustRightInd w:val="0"/>
        <w:snapToGrid w:val="0"/>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联系人：</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 xml:space="preserve">        联系人：</w:t>
      </w:r>
      <w:r>
        <w:rPr>
          <w:rFonts w:hint="eastAsia" w:ascii="仿宋_GB2312" w:hAnsi="仿宋_GB2312" w:eastAsia="仿宋_GB2312" w:cs="仿宋_GB2312"/>
          <w:color w:val="auto"/>
          <w:szCs w:val="21"/>
          <w:u w:val="single"/>
        </w:rPr>
        <w:t xml:space="preserve">                          </w:t>
      </w:r>
    </w:p>
    <w:p>
      <w:pPr>
        <w:adjustRightInd w:val="0"/>
        <w:snapToGrid w:val="0"/>
        <w:spacing w:line="360" w:lineRule="auto"/>
        <w:rPr>
          <w:rFonts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电话：</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 xml:space="preserve">        电话：</w:t>
      </w:r>
      <w:r>
        <w:rPr>
          <w:rFonts w:hint="eastAsia" w:ascii="仿宋_GB2312" w:hAnsi="仿宋_GB2312" w:eastAsia="仿宋_GB2312" w:cs="仿宋_GB2312"/>
          <w:color w:val="auto"/>
          <w:szCs w:val="21"/>
          <w:u w:val="single"/>
        </w:rPr>
        <w:t xml:space="preserve">                            </w:t>
      </w:r>
    </w:p>
    <w:p>
      <w:pPr>
        <w:adjustRightInd w:val="0"/>
        <w:snapToGrid w:val="0"/>
        <w:spacing w:line="360" w:lineRule="auto"/>
        <w:rPr>
          <w:rFonts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传真：</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 xml:space="preserve">        传真：</w:t>
      </w:r>
      <w:r>
        <w:rPr>
          <w:rFonts w:hint="eastAsia" w:ascii="仿宋_GB2312" w:hAnsi="仿宋_GB2312" w:eastAsia="仿宋_GB2312" w:cs="仿宋_GB2312"/>
          <w:color w:val="auto"/>
          <w:szCs w:val="21"/>
          <w:u w:val="single"/>
        </w:rPr>
        <w:t xml:space="preserve">                            </w:t>
      </w:r>
    </w:p>
    <w:p>
      <w:pPr>
        <w:adjustRightInd w:val="0"/>
        <w:snapToGrid w:val="0"/>
        <w:spacing w:line="360" w:lineRule="auto"/>
        <w:rPr>
          <w:rFonts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邮编：</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 xml:space="preserve">        邮编：</w:t>
      </w:r>
      <w:r>
        <w:rPr>
          <w:rFonts w:hint="eastAsia" w:ascii="仿宋_GB2312" w:hAnsi="仿宋_GB2312" w:eastAsia="仿宋_GB2312" w:cs="仿宋_GB2312"/>
          <w:color w:val="auto"/>
          <w:szCs w:val="21"/>
          <w:u w:val="single"/>
        </w:rPr>
        <w:t xml:space="preserve">                           </w:t>
      </w:r>
    </w:p>
    <w:p>
      <w:pPr>
        <w:adjustRightInd w:val="0"/>
        <w:snapToGrid w:val="0"/>
        <w:spacing w:line="360" w:lineRule="auto"/>
        <w:rPr>
          <w:rFonts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日期：</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 xml:space="preserve">        日期：</w:t>
      </w:r>
      <w:r>
        <w:rPr>
          <w:rFonts w:hint="eastAsia" w:ascii="仿宋_GB2312" w:hAnsi="仿宋_GB2312" w:eastAsia="仿宋_GB2312" w:cs="仿宋_GB2312"/>
          <w:color w:val="auto"/>
          <w:szCs w:val="21"/>
          <w:u w:val="single"/>
        </w:rPr>
        <w:t xml:space="preserve">                           </w:t>
      </w:r>
    </w:p>
    <w:p>
      <w:pPr>
        <w:rPr>
          <w:rFonts w:ascii="仿宋_GB2312" w:hAnsi="仿宋_GB2312" w:eastAsia="仿宋_GB2312" w:cs="仿宋_GB2312"/>
          <w:color w:val="auto"/>
          <w:szCs w:val="21"/>
        </w:rPr>
      </w:pPr>
    </w:p>
    <w:p>
      <w:pPr>
        <w:rPr>
          <w:rFonts w:ascii="仿宋_GB2312" w:hAnsi="仿宋_GB2312" w:eastAsia="仿宋_GB2312" w:cs="仿宋_GB2312"/>
          <w:color w:val="auto"/>
          <w:szCs w:val="21"/>
        </w:rPr>
      </w:pPr>
    </w:p>
    <w:p>
      <w:pPr>
        <w:rPr>
          <w:rFonts w:ascii="仿宋_GB2312" w:hAnsi="仿宋_GB2312" w:eastAsia="仿宋_GB2312" w:cs="仿宋_GB2312"/>
          <w:color w:val="auto"/>
          <w:szCs w:val="21"/>
        </w:rPr>
      </w:pPr>
    </w:p>
    <w:p>
      <w:pPr>
        <w:rPr>
          <w:rFonts w:ascii="仿宋_GB2312" w:hAnsi="仿宋_GB2312" w:eastAsia="仿宋_GB2312" w:cs="仿宋_GB2312"/>
          <w:color w:val="auto"/>
          <w:szCs w:val="21"/>
        </w:rPr>
      </w:pPr>
    </w:p>
    <w:p>
      <w:pPr>
        <w:rPr>
          <w:rFonts w:ascii="仿宋_GB2312" w:hAnsi="仿宋_GB2312" w:eastAsia="仿宋_GB2312" w:cs="仿宋_GB2312"/>
          <w:color w:val="auto"/>
          <w:szCs w:val="21"/>
        </w:rPr>
      </w:pPr>
    </w:p>
    <w:p>
      <w:pPr>
        <w:rPr>
          <w:rFonts w:ascii="仿宋_GB2312" w:hAnsi="仿宋_GB2312" w:eastAsia="仿宋_GB2312" w:cs="仿宋_GB2312"/>
          <w:color w:val="auto"/>
          <w:szCs w:val="21"/>
        </w:rPr>
      </w:pPr>
    </w:p>
    <w:p>
      <w:pPr>
        <w:rPr>
          <w:rFonts w:ascii="仿宋_GB2312" w:hAnsi="仿宋_GB2312" w:eastAsia="仿宋_GB2312" w:cs="仿宋_GB2312"/>
          <w:color w:val="auto"/>
          <w:szCs w:val="21"/>
        </w:rPr>
      </w:pPr>
    </w:p>
    <w:p>
      <w:pPr>
        <w:rPr>
          <w:rFonts w:ascii="仿宋_GB2312" w:hAnsi="仿宋_GB2312" w:eastAsia="仿宋_GB2312" w:cs="仿宋_GB2312"/>
          <w:color w:val="auto"/>
          <w:szCs w:val="21"/>
        </w:rPr>
      </w:pPr>
    </w:p>
    <w:p>
      <w:pPr>
        <w:rPr>
          <w:rFonts w:ascii="仿宋_GB2312" w:hAnsi="仿宋_GB2312" w:eastAsia="仿宋_GB2312" w:cs="仿宋_GB2312"/>
          <w:color w:val="auto"/>
          <w:szCs w:val="21"/>
        </w:rPr>
      </w:pPr>
    </w:p>
    <w:p>
      <w:pPr>
        <w:rPr>
          <w:rFonts w:ascii="仿宋_GB2312" w:hAnsi="仿宋_GB2312" w:eastAsia="仿宋_GB2312" w:cs="仿宋_GB2312"/>
          <w:color w:val="auto"/>
          <w:szCs w:val="21"/>
        </w:rPr>
      </w:pPr>
    </w:p>
    <w:p>
      <w:pPr>
        <w:rPr>
          <w:rFonts w:ascii="仿宋_GB2312" w:hAnsi="仿宋_GB2312" w:eastAsia="仿宋_GB2312" w:cs="仿宋_GB2312"/>
          <w:color w:val="auto"/>
          <w:szCs w:val="21"/>
        </w:rPr>
      </w:pPr>
    </w:p>
    <w:p>
      <w:pPr>
        <w:pStyle w:val="24"/>
        <w:ind w:left="0" w:leftChars="0" w:firstLine="0" w:firstLineChars="0"/>
        <w:rPr>
          <w:rFonts w:eastAsia="仿宋_GB2312"/>
          <w:color w:val="auto"/>
        </w:rPr>
      </w:pPr>
      <w:r>
        <w:rPr>
          <w:rFonts w:hint="eastAsia" w:ascii="仿宋_GB2312" w:hAnsi="仿宋_GB2312" w:eastAsia="仿宋_GB2312" w:cs="仿宋_GB2312"/>
          <w:color w:val="auto"/>
          <w:szCs w:val="21"/>
        </w:rPr>
        <w:t>附件：</w:t>
      </w:r>
    </w:p>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廉洁从业承诺书</w:t>
      </w:r>
    </w:p>
    <w:p>
      <w:pPr>
        <w:rPr>
          <w:rFonts w:ascii="仿宋_GB2312" w:hAnsi="仿宋_GB2312" w:eastAsia="仿宋_GB2312" w:cs="仿宋_GB2312"/>
          <w:color w:val="auto"/>
          <w:szCs w:val="21"/>
          <w:u w:val="single"/>
        </w:rPr>
      </w:pPr>
    </w:p>
    <w:p>
      <w:pPr>
        <w:rPr>
          <w:rFonts w:ascii="仿宋_GB2312" w:hAnsi="仿宋_GB2312" w:eastAsia="仿宋_GB2312" w:cs="仿宋_GB2312"/>
          <w:color w:val="auto"/>
          <w:szCs w:val="21"/>
          <w:u w:val="single"/>
        </w:rPr>
      </w:pPr>
      <w:r>
        <w:rPr>
          <w:rFonts w:hint="eastAsia" w:ascii="仿宋_GB2312" w:hAnsi="仿宋_GB2312" w:eastAsia="仿宋_GB2312" w:cs="仿宋_GB2312"/>
          <w:color w:val="auto"/>
          <w:szCs w:val="21"/>
          <w:u w:val="single"/>
        </w:rPr>
        <w:t xml:space="preserve">                       ：</w:t>
      </w:r>
    </w:p>
    <w:p>
      <w:pPr>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为进一步规范合同管理工作，杜绝在合同签署过程中的 不正之风和腐败现象，防止各种不正当行为的发生，根据国 家和地方有关规定，我单位</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(填写公司全称) 自愿同意遵守如下承诺事项，并按承诺书的要求 承担相应的经济责任：</w:t>
      </w:r>
    </w:p>
    <w:p>
      <w:pPr>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一、承诺内容</w:t>
      </w:r>
    </w:p>
    <w:p>
      <w:pPr>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1、承诺不赠送贵公司工作人员礼金、有价证券、物品等，不为贵公司工作人员报销任何费用；</w:t>
      </w:r>
    </w:p>
    <w:p>
      <w:pPr>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2、承诺不给予贵公司工作人员账外暗中支付各种回扣、佣金或任何变相贿赂 (如购物折扣等)；</w:t>
      </w:r>
    </w:p>
    <w:p>
      <w:pPr>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3、承诺不以洽谈工作、签订合同、联络感情等任何借口，邀请贵公司工作人员外出旅游和进入营业性娱乐场所 (含餐饮)；</w:t>
      </w:r>
    </w:p>
    <w:p>
      <w:pPr>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4、承诺不为贵公司工作人员住房装修、婚丧嫁娶、家 属和子女的工作安排以及出国等提供方便；</w:t>
      </w:r>
    </w:p>
    <w:p>
      <w:pPr>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5、承诺不招聘贵公司工作人员介绍的亲友从事与贵公司采购等相关联的工作；</w:t>
      </w:r>
    </w:p>
    <w:p>
      <w:pPr>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6、承诺不借款给贵公司的工作人员，不为贵公司的工作人员代购任何物品；</w:t>
      </w:r>
    </w:p>
    <w:p>
      <w:pPr>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7、承诺在参与贵公司组织的任何合同招标、签约、履行过程中，不做任何包括但不限于与其他投标方相互串通投标报价、排挤其他投标人、向贵公司工作人员行贿或弄虚作假，骗取中标等损害贵公司利益的行为；</w:t>
      </w:r>
    </w:p>
    <w:p>
      <w:pPr>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8、承诺不以任何直接或间接关系获得签订合同机会；</w:t>
      </w:r>
    </w:p>
    <w:p>
      <w:pPr>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9、承诺本着友好合作基本原则，在合作过程中决不发生侮辱、恐吓、伤害贵公司工作人员的行为；</w:t>
      </w:r>
    </w:p>
    <w:p>
      <w:pPr>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10、承诺在与贵公司业务交往过程中，决不擅自窃取、拿取贵公司任何物品、物件及相关资料(如技术、业务、采购、生产资料等)；</w:t>
      </w:r>
    </w:p>
    <w:p>
      <w:pPr>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11、承诺不泄露双方合作过程中知悉属贵公司的商业秘密；</w:t>
      </w:r>
    </w:p>
    <w:p>
      <w:pPr>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12、承诺切实履行与贵公司签订的任何合同、质量保证合同及其他相关合同、协议。</w:t>
      </w:r>
    </w:p>
    <w:p>
      <w:pPr>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二、执行承诺</w:t>
      </w:r>
    </w:p>
    <w:p>
      <w:pPr>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我单位自觉接受贵公司及贵公司上级相关监督管理部门的监督检查，全面配合贵公司开展的上述廉洁、诚信承诺内容履行情况的检查工作。我单位知悉并将通过贵单位投诉举报渠道(集团本部纪检监察室举报投诉电话：0758-2909855)来维护双方的利益；</w:t>
      </w:r>
    </w:p>
    <w:p>
      <w:pPr>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2、若发现任何合同签署履行等合作过程中，贵公司工作人员存在索贿等违法、违纪行为的，我单位承诺配合贵单位做好抽查惩处工作；</w:t>
      </w:r>
    </w:p>
    <w:p>
      <w:pPr>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我单位如果违反本承诺书承诺内容第1至第12款中任一款的承诺，愿意无条件向贵公司支付合同金额10%违约金，贵公司有权直接从我单位往来结算账户中扣除此违约金。且贵公司可以单方面解除双方之间所有协议而不需承担任何违约责任；</w:t>
      </w:r>
    </w:p>
    <w:p>
      <w:pPr>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4、若发生违反本承诺书的事由，给贵公司造成经济损失的，我单位承诺予以赔偿。贵公司除可执行本条第3款规定外，还可视经济损失情况保留对我单位终止或暂停结算的相关权利，且贵集团公司属下所有与我单位有业务往来的公司均有相关终止或暂停结算的权利。</w:t>
      </w:r>
    </w:p>
    <w:p>
      <w:pPr>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三、其他相关内容</w:t>
      </w:r>
    </w:p>
    <w:p>
      <w:pPr>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1、本承诺书不影响我单位按合同其它条款承担相关责任。</w:t>
      </w:r>
    </w:p>
    <w:p>
      <w:pPr>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2、本承诺书自我单位签字盖章之日起生效，承诺的有效期为合同期。在承诺有效期内，本承诺书对我单位与贵公司签订的每一项合同均具有效力。</w:t>
      </w:r>
    </w:p>
    <w:p>
      <w:pPr>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3、本承诺书作为合同的附件，与合同具有同等法律效力；承诺书一式贰份，双方各执一份，该承诺书在有效期内不可撤销。</w:t>
      </w:r>
    </w:p>
    <w:p>
      <w:pPr>
        <w:rPr>
          <w:rFonts w:ascii="仿宋_GB2312" w:hAnsi="仿宋_GB2312" w:eastAsia="仿宋_GB2312" w:cs="仿宋_GB2312"/>
          <w:color w:val="auto"/>
          <w:szCs w:val="21"/>
          <w:u w:val="single"/>
        </w:rPr>
      </w:pPr>
    </w:p>
    <w:p>
      <w:pPr>
        <w:rPr>
          <w:rFonts w:ascii="仿宋_GB2312" w:hAnsi="仿宋_GB2312" w:eastAsia="仿宋_GB2312" w:cs="仿宋_GB2312"/>
          <w:color w:val="auto"/>
          <w:szCs w:val="21"/>
          <w:u w:val="single"/>
        </w:rPr>
      </w:pPr>
    </w:p>
    <w:p>
      <w:pPr>
        <w:ind w:firstLine="630" w:firstLineChars="30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承诺人 (盖章)：</w:t>
      </w:r>
    </w:p>
    <w:p>
      <w:pPr>
        <w:jc w:val="right"/>
        <w:rPr>
          <w:rFonts w:ascii="仿宋_GB2312" w:hAnsi="仿宋_GB2312" w:eastAsia="仿宋_GB2312" w:cs="仿宋_GB2312"/>
          <w:color w:val="auto"/>
          <w:szCs w:val="21"/>
          <w:u w:val="single"/>
        </w:rPr>
      </w:pPr>
    </w:p>
    <w:p>
      <w:pPr>
        <w:jc w:val="right"/>
        <w:rPr>
          <w:rFonts w:ascii="仿宋_GB2312" w:hAnsi="仿宋_GB2312" w:eastAsia="仿宋_GB2312" w:cs="仿宋_GB2312"/>
          <w:color w:val="auto"/>
          <w:szCs w:val="21"/>
          <w:u w:val="single"/>
        </w:rPr>
      </w:pPr>
      <w:r>
        <w:rPr>
          <w:rFonts w:hint="eastAsia" w:ascii="仿宋_GB2312" w:hAnsi="仿宋_GB2312" w:eastAsia="仿宋_GB2312" w:cs="仿宋_GB2312"/>
          <w:color w:val="auto"/>
          <w:szCs w:val="21"/>
          <w:u w:val="single"/>
        </w:rPr>
        <w:t>年    月    日</w:t>
      </w:r>
    </w:p>
    <w:p>
      <w:pPr>
        <w:rPr>
          <w:rFonts w:ascii="仿宋_GB2312" w:hAnsi="仿宋_GB2312" w:eastAsia="仿宋_GB2312" w:cs="仿宋_GB2312"/>
          <w:color w:val="auto"/>
          <w:szCs w:val="21"/>
          <w:u w:val="single"/>
        </w:rPr>
      </w:pPr>
    </w:p>
    <w:p>
      <w:pPr>
        <w:rPr>
          <w:rFonts w:ascii="仿宋_GB2312" w:hAnsi="仿宋_GB2312" w:eastAsia="仿宋_GB2312" w:cs="仿宋_GB2312"/>
          <w:color w:val="auto"/>
          <w:szCs w:val="21"/>
          <w:u w:val="single"/>
        </w:rPr>
      </w:pPr>
      <w:r>
        <w:rPr>
          <w:rFonts w:hint="eastAsia" w:ascii="仿宋_GB2312" w:hAnsi="仿宋_GB2312" w:eastAsia="仿宋_GB2312" w:cs="仿宋_GB2312"/>
          <w:color w:val="auto"/>
          <w:szCs w:val="21"/>
          <w:u w:val="single"/>
        </w:rPr>
        <w:br w:type="page"/>
      </w:r>
    </w:p>
    <w:p>
      <w:pPr>
        <w:pStyle w:val="2"/>
        <w:adjustRightInd w:val="0"/>
        <w:snapToGrid w:val="0"/>
        <w:spacing w:before="0" w:after="0" w:line="240" w:lineRule="auto"/>
        <w:jc w:val="center"/>
        <w:rPr>
          <w:rFonts w:ascii="仿宋_GB2312" w:hAnsi="仿宋_GB2312" w:eastAsia="仿宋_GB2312" w:cs="仿宋_GB2312"/>
          <w:color w:val="auto"/>
          <w:sz w:val="32"/>
          <w:szCs w:val="32"/>
        </w:rPr>
      </w:pPr>
      <w:bookmarkStart w:id="19" w:name="_Toc25076"/>
      <w:bookmarkStart w:id="20" w:name="_Toc16107_WPSOffice_Level1"/>
      <w:bookmarkStart w:id="21" w:name="_Toc23563"/>
      <w:r>
        <w:rPr>
          <w:rFonts w:hint="eastAsia" w:ascii="仿宋_GB2312" w:hAnsi="仿宋_GB2312" w:eastAsia="仿宋_GB2312" w:cs="仿宋_GB2312"/>
          <w:color w:val="auto"/>
          <w:sz w:val="32"/>
          <w:szCs w:val="32"/>
        </w:rPr>
        <w:t>第六章 投标文件内容及格式</w:t>
      </w:r>
      <w:bookmarkEnd w:id="19"/>
      <w:bookmarkEnd w:id="20"/>
      <w:bookmarkEnd w:id="21"/>
    </w:p>
    <w:p>
      <w:pPr>
        <w:ind w:firstLine="482" w:firstLineChars="200"/>
        <w:rPr>
          <w:rFonts w:ascii="仿宋_GB2312" w:hAnsi="仿宋_GB2312" w:eastAsia="仿宋_GB2312" w:cs="仿宋_GB2312"/>
          <w:b/>
          <w:color w:val="auto"/>
          <w:sz w:val="24"/>
        </w:rPr>
      </w:pPr>
      <w:bookmarkStart w:id="22" w:name="投标文件内容及格式：Block"/>
      <w:bookmarkEnd w:id="22"/>
      <w:bookmarkStart w:id="23" w:name="sys_投标文件内容及格式：Block"/>
      <w:bookmarkEnd w:id="23"/>
    </w:p>
    <w:p>
      <w:pPr>
        <w:adjustRightInd w:val="0"/>
        <w:snapToGrid w:val="0"/>
        <w:spacing w:line="360" w:lineRule="auto"/>
        <w:ind w:firstLine="420" w:firstLineChars="200"/>
        <w:rPr>
          <w:rFonts w:ascii="仿宋_GB2312" w:hAnsi="仿宋_GB2312" w:eastAsia="仿宋_GB2312" w:cs="仿宋_GB2312"/>
          <w:color w:val="auto"/>
          <w:szCs w:val="21"/>
        </w:rPr>
      </w:pPr>
    </w:p>
    <w:p>
      <w:pPr>
        <w:adjustRightInd w:val="0"/>
        <w:snapToGrid w:val="0"/>
        <w:spacing w:line="360" w:lineRule="auto"/>
        <w:ind w:firstLine="420" w:firstLineChars="200"/>
        <w:rPr>
          <w:rFonts w:ascii="仿宋_GB2312" w:hAnsi="仿宋_GB2312" w:eastAsia="仿宋_GB2312" w:cs="仿宋_GB2312"/>
          <w:color w:val="auto"/>
          <w:kern w:val="0"/>
          <w:szCs w:val="21"/>
        </w:rPr>
      </w:pPr>
    </w:p>
    <w:p>
      <w:pPr>
        <w:snapToGrid w:val="0"/>
        <w:spacing w:line="276" w:lineRule="auto"/>
        <w:ind w:firstLine="420" w:firstLineChars="200"/>
        <w:jc w:val="left"/>
        <w:rPr>
          <w:rFonts w:ascii="仿宋_GB2312" w:hAnsi="仿宋_GB2312" w:eastAsia="仿宋_GB2312" w:cs="仿宋_GB2312"/>
          <w:color w:val="auto"/>
          <w:szCs w:val="21"/>
        </w:rPr>
      </w:pPr>
    </w:p>
    <w:p>
      <w:pPr>
        <w:snapToGrid w:val="0"/>
        <w:spacing w:line="276" w:lineRule="auto"/>
        <w:ind w:firstLine="420" w:firstLineChars="200"/>
        <w:jc w:val="left"/>
        <w:rPr>
          <w:rFonts w:ascii="仿宋_GB2312" w:hAnsi="仿宋_GB2312" w:eastAsia="仿宋_GB2312" w:cs="仿宋_GB2312"/>
          <w:color w:val="auto"/>
          <w:szCs w:val="21"/>
        </w:rPr>
      </w:pPr>
    </w:p>
    <w:p>
      <w:pPr>
        <w:rPr>
          <w:rFonts w:ascii="仿宋_GB2312" w:hAnsi="仿宋_GB2312" w:eastAsia="仿宋_GB2312" w:cs="仿宋_GB2312"/>
          <w:color w:val="auto"/>
        </w:rPr>
      </w:pPr>
      <w:r>
        <w:rPr>
          <w:rFonts w:hint="eastAsia" w:ascii="仿宋_GB2312" w:hAnsi="仿宋_GB2312" w:eastAsia="仿宋_GB2312" w:cs="仿宋_GB2312"/>
          <w:color w:val="auto"/>
        </w:rPr>
        <w:br w:type="page"/>
      </w:r>
    </w:p>
    <w:p>
      <w:pPr>
        <w:rPr>
          <w:rFonts w:ascii="仿宋_GB2312" w:hAnsi="仿宋_GB2312" w:eastAsia="仿宋_GB2312" w:cs="仿宋_GB2312"/>
          <w:color w:val="auto"/>
        </w:rPr>
      </w:pPr>
    </w:p>
    <w:p>
      <w:pPr>
        <w:tabs>
          <w:tab w:val="left" w:pos="6832"/>
        </w:tabs>
        <w:rPr>
          <w:rFonts w:ascii="仿宋_GB2312" w:hAnsi="仿宋_GB2312" w:eastAsia="仿宋_GB2312" w:cs="仿宋_GB2312"/>
          <w:color w:val="auto"/>
        </w:rPr>
      </w:pPr>
      <w:r>
        <w:rPr>
          <w:color w:val="auto"/>
        </w:rPr>
        <mc:AlternateContent>
          <mc:Choice Requires="wps">
            <w:drawing>
              <wp:anchor distT="0" distB="0" distL="114300" distR="114300" simplePos="0" relativeHeight="251659264" behindDoc="0" locked="0" layoutInCell="1" allowOverlap="1">
                <wp:simplePos x="0" y="0"/>
                <wp:positionH relativeFrom="column">
                  <wp:posOffset>4003675</wp:posOffset>
                </wp:positionH>
                <wp:positionV relativeFrom="paragraph">
                  <wp:posOffset>104140</wp:posOffset>
                </wp:positionV>
                <wp:extent cx="1253490" cy="563245"/>
                <wp:effectExtent l="5080" t="4445" r="6350" b="11430"/>
                <wp:wrapNone/>
                <wp:docPr id="1" name="文本框 1"/>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15.25pt;margin-top:8.2pt;height:44.35pt;width:98.7pt;z-index:251659264;mso-width-relative:page;mso-height-relative:page;" fillcolor="#FFFFFF" filled="t" stroked="t" coordsize="21600,21600" o:gfxdata="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7DevENkAAAAKAQAADwAAAAAAAAAB&#10;ACAAAAAiAAAAZHJzL2Rvd25yZXYueG1sUEsBAhQAFAAAAAgAh07iQDaDirEPAgAARAQAAA4AAAAA&#10;AAAAAQAgAAAAKAEAAGRycy9lMm9Eb2MueG1sUEsFBgAAAAAGAAYAWQEAAKkFA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_GB2312" w:hAnsi="仿宋_GB2312" w:eastAsia="仿宋_GB2312" w:cs="仿宋_GB2312"/>
          <w:color w:val="auto"/>
        </w:rPr>
        <w:tab/>
      </w:r>
    </w:p>
    <w:p>
      <w:pPr>
        <w:rPr>
          <w:rFonts w:ascii="仿宋_GB2312" w:hAnsi="仿宋_GB2312" w:eastAsia="仿宋_GB2312" w:cs="仿宋_GB2312"/>
          <w:color w:val="auto"/>
        </w:rPr>
      </w:pPr>
    </w:p>
    <w:p>
      <w:pPr>
        <w:rPr>
          <w:rFonts w:ascii="仿宋_GB2312" w:hAnsi="仿宋_GB2312" w:eastAsia="仿宋_GB2312" w:cs="仿宋_GB2312"/>
          <w:color w:val="auto"/>
        </w:rPr>
      </w:pPr>
    </w:p>
    <w:p>
      <w:pPr>
        <w:rPr>
          <w:rFonts w:ascii="仿宋_GB2312" w:hAnsi="仿宋_GB2312" w:eastAsia="仿宋_GB2312" w:cs="仿宋_GB2312"/>
          <w:color w:val="auto"/>
        </w:rPr>
      </w:pPr>
    </w:p>
    <w:p>
      <w:pPr>
        <w:rPr>
          <w:rFonts w:ascii="仿宋_GB2312" w:hAnsi="仿宋_GB2312" w:eastAsia="仿宋_GB2312" w:cs="仿宋_GB2312"/>
          <w:color w:val="auto"/>
        </w:rPr>
      </w:pPr>
    </w:p>
    <w:p>
      <w:pPr>
        <w:jc w:val="center"/>
        <w:rPr>
          <w:rFonts w:ascii="仿宋_GB2312" w:hAnsi="仿宋_GB2312" w:eastAsia="仿宋_GB2312" w:cs="仿宋_GB2312"/>
          <w:b/>
          <w:bCs/>
          <w:color w:val="auto"/>
          <w:sz w:val="52"/>
          <w:szCs w:val="52"/>
        </w:rPr>
      </w:pPr>
      <w:r>
        <w:rPr>
          <w:rFonts w:hint="eastAsia" w:ascii="仿宋_GB2312" w:hAnsi="仿宋_GB2312" w:eastAsia="仿宋_GB2312" w:cs="仿宋_GB2312"/>
          <w:b/>
          <w:bCs/>
          <w:color w:val="auto"/>
          <w:sz w:val="52"/>
          <w:szCs w:val="52"/>
        </w:rPr>
        <w:t>投  标  文  件</w:t>
      </w:r>
    </w:p>
    <w:p>
      <w:pPr>
        <w:rPr>
          <w:rFonts w:ascii="仿宋_GB2312" w:hAnsi="仿宋_GB2312" w:eastAsia="仿宋_GB2312" w:cs="仿宋_GB2312"/>
          <w:color w:val="auto"/>
        </w:rPr>
      </w:pPr>
    </w:p>
    <w:p>
      <w:pPr>
        <w:rPr>
          <w:rFonts w:ascii="仿宋_GB2312" w:hAnsi="仿宋_GB2312" w:eastAsia="仿宋_GB2312" w:cs="仿宋_GB2312"/>
          <w:color w:val="auto"/>
        </w:rPr>
      </w:pPr>
    </w:p>
    <w:p>
      <w:pPr>
        <w:rPr>
          <w:rFonts w:ascii="仿宋_GB2312" w:hAnsi="仿宋_GB2312" w:eastAsia="仿宋_GB2312" w:cs="仿宋_GB2312"/>
          <w:color w:val="auto"/>
        </w:rPr>
      </w:pPr>
    </w:p>
    <w:p>
      <w:pPr>
        <w:rPr>
          <w:rFonts w:ascii="仿宋_GB2312" w:hAnsi="仿宋_GB2312" w:eastAsia="仿宋_GB2312" w:cs="仿宋_GB2312"/>
          <w:color w:val="auto"/>
          <w:sz w:val="28"/>
          <w:szCs w:val="28"/>
        </w:rPr>
      </w:pPr>
    </w:p>
    <w:p>
      <w:pPr>
        <w:rPr>
          <w:rFonts w:ascii="仿宋_GB2312" w:hAnsi="仿宋_GB2312" w:eastAsia="仿宋_GB2312" w:cs="仿宋_GB2312"/>
          <w:color w:val="auto"/>
          <w:sz w:val="28"/>
          <w:szCs w:val="28"/>
        </w:rPr>
      </w:pPr>
    </w:p>
    <w:p>
      <w:pPr>
        <w:rPr>
          <w:rFonts w:ascii="仿宋_GB2312" w:hAnsi="仿宋_GB2312" w:eastAsia="仿宋_GB2312" w:cs="仿宋_GB2312"/>
          <w:color w:val="auto"/>
          <w:sz w:val="28"/>
          <w:szCs w:val="28"/>
        </w:rPr>
      </w:pPr>
    </w:p>
    <w:p>
      <w:pPr>
        <w:rPr>
          <w:rFonts w:ascii="仿宋_GB2312" w:hAnsi="仿宋_GB2312" w:eastAsia="仿宋_GB2312" w:cs="仿宋_GB2312"/>
          <w:color w:val="auto"/>
          <w:sz w:val="28"/>
          <w:szCs w:val="28"/>
        </w:rPr>
      </w:pPr>
    </w:p>
    <w:p>
      <w:pPr>
        <w:rPr>
          <w:rFonts w:ascii="仿宋_GB2312" w:hAnsi="仿宋_GB2312" w:eastAsia="仿宋_GB2312" w:cs="仿宋_GB2312"/>
          <w:color w:val="auto"/>
          <w:sz w:val="28"/>
          <w:szCs w:val="28"/>
        </w:rPr>
      </w:pPr>
    </w:p>
    <w:p>
      <w:pPr>
        <w:rPr>
          <w:rFonts w:ascii="仿宋_GB2312" w:hAnsi="仿宋_GB2312" w:eastAsia="仿宋_GB2312" w:cs="仿宋_GB2312"/>
          <w:color w:val="auto"/>
          <w:sz w:val="28"/>
          <w:szCs w:val="28"/>
        </w:rPr>
      </w:pPr>
    </w:p>
    <w:p>
      <w:pPr>
        <w:rPr>
          <w:rFonts w:ascii="仿宋_GB2312" w:hAnsi="仿宋_GB2312" w:eastAsia="仿宋_GB2312" w:cs="仿宋_GB2312"/>
          <w:color w:val="auto"/>
          <w:sz w:val="28"/>
          <w:szCs w:val="28"/>
        </w:rPr>
      </w:pPr>
    </w:p>
    <w:p>
      <w:pP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标段号：第  标段</w:t>
      </w:r>
    </w:p>
    <w:p>
      <w:pP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项目名称：</w:t>
      </w:r>
    </w:p>
    <w:p>
      <w:pP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投标人名称 ：</w:t>
      </w:r>
    </w:p>
    <w:p>
      <w:pP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br w:type="page"/>
      </w:r>
    </w:p>
    <w:p>
      <w:pPr>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目  录</w:t>
      </w:r>
    </w:p>
    <w:p>
      <w:pPr>
        <w:rPr>
          <w:rFonts w:ascii="仿宋_GB2312" w:hAnsi="仿宋_GB2312" w:eastAsia="仿宋_GB2312" w:cs="仿宋_GB2312"/>
          <w:color w:val="auto"/>
        </w:rPr>
      </w:pPr>
      <w:r>
        <w:rPr>
          <w:rFonts w:hint="eastAsia" w:ascii="仿宋_GB2312" w:hAnsi="仿宋_GB2312" w:eastAsia="仿宋_GB2312" w:cs="仿宋_GB2312"/>
          <w:color w:val="auto"/>
        </w:rPr>
        <w:t>（格式自拟）</w:t>
      </w:r>
      <w:r>
        <w:rPr>
          <w:rFonts w:hint="eastAsia" w:ascii="仿宋_GB2312" w:hAnsi="仿宋_GB2312" w:eastAsia="仿宋_GB2312" w:cs="仿宋_GB2312"/>
          <w:color w:val="auto"/>
        </w:rPr>
        <w:br w:type="page"/>
      </w:r>
    </w:p>
    <w:p>
      <w:pPr>
        <w:pStyle w:val="3"/>
        <w:adjustRightInd w:val="0"/>
        <w:snapToGrid w:val="0"/>
        <w:spacing w:before="0" w:after="0" w:line="240" w:lineRule="auto"/>
        <w:jc w:val="left"/>
        <w:rPr>
          <w:rFonts w:ascii="仿宋_GB2312" w:hAnsi="仿宋_GB2312" w:eastAsia="仿宋_GB2312" w:cs="仿宋_GB2312"/>
          <w:color w:val="auto"/>
          <w:sz w:val="28"/>
          <w:szCs w:val="28"/>
        </w:rPr>
      </w:pPr>
    </w:p>
    <w:p>
      <w:pPr>
        <w:spacing w:before="319" w:beforeLines="100" w:after="319" w:afterLines="100" w:line="360" w:lineRule="auto"/>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投标函</w:t>
      </w:r>
    </w:p>
    <w:p>
      <w:pPr>
        <w:adjustRightInd w:val="0"/>
        <w:snapToGrid w:val="0"/>
        <w:spacing w:line="360" w:lineRule="auto"/>
        <w:ind w:right="630" w:rightChars="300"/>
        <w:rPr>
          <w:rFonts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致：</w:t>
      </w:r>
      <w:r>
        <w:rPr>
          <w:rFonts w:hint="eastAsia" w:ascii="仿宋_GB2312" w:hAnsi="仿宋_GB2312" w:eastAsia="仿宋_GB2312" w:cs="仿宋_GB2312"/>
          <w:color w:val="auto"/>
          <w:szCs w:val="21"/>
          <w:u w:val="single"/>
        </w:rPr>
        <w:t>（招标人名称）</w:t>
      </w:r>
    </w:p>
    <w:p>
      <w:pPr>
        <w:adjustRightInd w:val="0"/>
        <w:snapToGrid w:val="0"/>
        <w:spacing w:line="360" w:lineRule="auto"/>
        <w:ind w:right="-21" w:rightChars="-1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1.我方已仔细研究了</w:t>
      </w:r>
      <w:r>
        <w:rPr>
          <w:rFonts w:hint="eastAsia" w:ascii="仿宋_GB2312" w:hAnsi="仿宋_GB2312" w:eastAsia="仿宋_GB2312" w:cs="仿宋_GB2312"/>
          <w:color w:val="auto"/>
          <w:szCs w:val="21"/>
          <w:u w:val="single"/>
        </w:rPr>
        <w:t xml:space="preserve">                  （项目名称)</w:t>
      </w:r>
      <w:r>
        <w:rPr>
          <w:rFonts w:hint="eastAsia" w:ascii="仿宋_GB2312" w:hAnsi="仿宋_GB2312" w:eastAsia="仿宋_GB2312" w:cs="仿宋_GB2312"/>
          <w:color w:val="auto"/>
          <w:szCs w:val="21"/>
        </w:rPr>
        <w:t xml:space="preserve">招标文件的全部内容,愿以含税总价人民币 </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元（小写：</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元）的报价（增值税的税率为</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%）完成本项目并按合同约定履行义务。</w:t>
      </w:r>
    </w:p>
    <w:p>
      <w:pPr>
        <w:adjustRightInd w:val="0"/>
        <w:snapToGrid w:val="0"/>
        <w:spacing w:line="360" w:lineRule="auto"/>
        <w:ind w:right="-21" w:rightChars="-1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2.我方承诺，我方响应招标文件的全部要求。</w:t>
      </w:r>
    </w:p>
    <w:p>
      <w:pPr>
        <w:adjustRightInd w:val="0"/>
        <w:snapToGrid w:val="0"/>
        <w:spacing w:line="360" w:lineRule="auto"/>
        <w:ind w:right="-21" w:rightChars="-1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3.本项目投标有效期为自递交投标文件截止之日起</w:t>
      </w:r>
      <w:r>
        <w:rPr>
          <w:rFonts w:hint="eastAsia" w:ascii="仿宋_GB2312" w:hAnsi="仿宋_GB2312" w:eastAsia="仿宋_GB2312" w:cs="仿宋_GB2312"/>
          <w:color w:val="auto"/>
          <w:szCs w:val="21"/>
          <w:u w:val="single"/>
        </w:rPr>
        <w:t>90</w:t>
      </w:r>
      <w:r>
        <w:rPr>
          <w:rFonts w:hint="eastAsia" w:ascii="仿宋_GB2312" w:hAnsi="仿宋_GB2312" w:eastAsia="仿宋_GB2312" w:cs="仿宋_GB2312"/>
          <w:color w:val="auto"/>
          <w:szCs w:val="21"/>
        </w:rPr>
        <w:t>日历日。</w:t>
      </w:r>
    </w:p>
    <w:p>
      <w:pPr>
        <w:pStyle w:val="24"/>
        <w:rPr>
          <w:rFonts w:ascii="仿宋_GB2312" w:hAnsi="仿宋_GB2312" w:eastAsia="仿宋_GB2312" w:cs="仿宋_GB2312"/>
          <w:color w:val="auto"/>
          <w:spacing w:val="0"/>
          <w:kern w:val="2"/>
          <w:sz w:val="21"/>
          <w:szCs w:val="21"/>
        </w:rPr>
      </w:pPr>
      <w:r>
        <w:rPr>
          <w:rFonts w:hint="eastAsia" w:ascii="仿宋_GB2312" w:hAnsi="仿宋_GB2312" w:eastAsia="仿宋_GB2312" w:cs="仿宋_GB2312"/>
          <w:color w:val="auto"/>
          <w:spacing w:val="0"/>
          <w:kern w:val="2"/>
          <w:sz w:val="21"/>
          <w:szCs w:val="21"/>
        </w:rPr>
        <w:t>4.我方承诺在投标有效期内不撤销投标文件。</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5.我方完全理解你方不一定接受最低报价的投标文件或收到的任何投标文件。</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6.如我方中标，我方承诺：</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（1）在收到中标通知书后，在招标文件规定的时间期限内与你方签订合同。</w:t>
      </w:r>
    </w:p>
    <w:p>
      <w:pPr>
        <w:pStyle w:val="24"/>
        <w:rPr>
          <w:rFonts w:ascii="仿宋_GB2312" w:hAnsi="仿宋_GB2312" w:eastAsia="仿宋_GB2312" w:cs="仿宋_GB2312"/>
          <w:color w:val="auto"/>
          <w:spacing w:val="0"/>
          <w:kern w:val="2"/>
          <w:sz w:val="21"/>
          <w:szCs w:val="21"/>
        </w:rPr>
      </w:pPr>
      <w:r>
        <w:rPr>
          <w:rFonts w:hint="eastAsia" w:ascii="仿宋_GB2312" w:hAnsi="仿宋_GB2312" w:eastAsia="仿宋_GB2312" w:cs="仿宋_GB2312"/>
          <w:color w:val="auto"/>
          <w:spacing w:val="0"/>
          <w:kern w:val="2"/>
          <w:sz w:val="21"/>
          <w:szCs w:val="21"/>
        </w:rPr>
        <w:t>（2）在签订合同时不向你方提出附加条件。</w:t>
      </w:r>
    </w:p>
    <w:p>
      <w:pPr>
        <w:pStyle w:val="25"/>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（3）按照招标文件的要求递交履约保证金。</w:t>
      </w:r>
    </w:p>
    <w:p>
      <w:pPr>
        <w:pStyle w:val="25"/>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（4）在合同期限内完成合同规定的全部义务。</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7.我方在此声明，所递交的投标文件及有关资料内容完整、真实和准确，且不存在招标文件中投标人不得存在的情形。</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8. </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（其他补充说明）。</w:t>
      </w:r>
    </w:p>
    <w:p>
      <w:pPr>
        <w:snapToGrid w:val="0"/>
        <w:spacing w:line="360" w:lineRule="auto"/>
        <w:ind w:right="1050" w:rightChars="500"/>
        <w:rPr>
          <w:rFonts w:ascii="仿宋_GB2312" w:hAnsi="仿宋_GB2312" w:eastAsia="仿宋_GB2312" w:cs="仿宋_GB2312"/>
          <w:color w:val="auto"/>
          <w:szCs w:val="21"/>
        </w:rPr>
      </w:pPr>
    </w:p>
    <w:p>
      <w:pPr>
        <w:snapToGrid w:val="0"/>
        <w:spacing w:line="360" w:lineRule="auto"/>
        <w:ind w:right="1050" w:rightChars="500"/>
        <w:rPr>
          <w:rFonts w:ascii="仿宋_GB2312" w:hAnsi="仿宋_GB2312" w:eastAsia="仿宋_GB2312" w:cs="仿宋_GB2312"/>
          <w:color w:val="auto"/>
          <w:szCs w:val="21"/>
        </w:rPr>
      </w:pPr>
    </w:p>
    <w:p>
      <w:pPr>
        <w:snapToGrid w:val="0"/>
        <w:spacing w:line="360" w:lineRule="auto"/>
        <w:ind w:right="1050" w:rightChars="5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投标人名称（加盖单位公章）:</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 xml:space="preserve">  </w:t>
      </w:r>
    </w:p>
    <w:p>
      <w:pPr>
        <w:snapToGrid w:val="0"/>
        <w:spacing w:line="360" w:lineRule="auto"/>
        <w:ind w:right="1050" w:rightChars="500"/>
        <w:rPr>
          <w:rFonts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法定代表人或其授权委托人</w:t>
      </w:r>
      <w:r>
        <w:rPr>
          <w:rFonts w:hint="eastAsia" w:ascii="仿宋_GB2312" w:hAnsi="仿宋_GB2312" w:eastAsia="仿宋_GB2312" w:cs="仿宋_GB2312"/>
          <w:color w:val="auto"/>
        </w:rPr>
        <w:t xml:space="preserve"> (签字或盖章)</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u w:val="single"/>
        </w:rPr>
        <w:t xml:space="preserve">        </w:t>
      </w:r>
    </w:p>
    <w:p>
      <w:pPr>
        <w:snapToGrid w:val="0"/>
        <w:spacing w:line="360" w:lineRule="auto"/>
        <w:ind w:right="1050" w:rightChars="5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日    期:</w:t>
      </w:r>
      <w:r>
        <w:rPr>
          <w:rFonts w:hint="eastAsia" w:ascii="仿宋_GB2312" w:hAnsi="仿宋_GB2312" w:eastAsia="仿宋_GB2312" w:cs="仿宋_GB2312"/>
          <w:color w:val="auto"/>
          <w:szCs w:val="21"/>
          <w:u w:val="single"/>
        </w:rPr>
        <w:t xml:space="preserve">                           </w:t>
      </w:r>
    </w:p>
    <w:p>
      <w:pPr>
        <w:spacing w:line="360" w:lineRule="exact"/>
        <w:ind w:right="1050" w:rightChars="500" w:firstLine="476" w:firstLineChars="227"/>
        <w:rPr>
          <w:rFonts w:ascii="仿宋_GB2312" w:hAnsi="仿宋_GB2312" w:eastAsia="仿宋_GB2312" w:cs="仿宋_GB2312"/>
          <w:color w:val="auto"/>
          <w:szCs w:val="21"/>
        </w:rPr>
      </w:pPr>
    </w:p>
    <w:p>
      <w:pPr>
        <w:adjustRightInd w:val="0"/>
        <w:snapToGrid w:val="0"/>
        <w:spacing w:line="360" w:lineRule="auto"/>
        <w:ind w:right="1050" w:rightChars="500" w:firstLine="476" w:firstLineChars="227"/>
        <w:rPr>
          <w:rFonts w:ascii="仿宋_GB2312" w:hAnsi="仿宋_GB2312" w:eastAsia="仿宋_GB2312" w:cs="仿宋_GB2312"/>
          <w:color w:val="auto"/>
          <w:szCs w:val="21"/>
        </w:rPr>
      </w:pPr>
    </w:p>
    <w:p>
      <w:pP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br w:type="page"/>
      </w:r>
    </w:p>
    <w:p>
      <w:pPr>
        <w:pStyle w:val="3"/>
        <w:adjustRightInd w:val="0"/>
        <w:snapToGrid w:val="0"/>
        <w:spacing w:before="0" w:after="0" w:line="240" w:lineRule="auto"/>
        <w:jc w:val="left"/>
        <w:rPr>
          <w:rFonts w:ascii="仿宋_GB2312" w:hAnsi="仿宋_GB2312" w:eastAsia="仿宋_GB2312" w:cs="仿宋_GB2312"/>
          <w:color w:val="auto"/>
          <w:sz w:val="28"/>
          <w:szCs w:val="28"/>
        </w:rPr>
      </w:pPr>
    </w:p>
    <w:p>
      <w:pPr>
        <w:spacing w:before="319" w:beforeLines="100" w:after="319" w:afterLines="100" w:line="360" w:lineRule="auto"/>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报价一览表</w:t>
      </w:r>
    </w:p>
    <w:p>
      <w:pPr>
        <w:adjustRightInd w:val="0"/>
        <w:snapToGrid w:val="0"/>
        <w:spacing w:line="360" w:lineRule="auto"/>
        <w:ind w:right="105" w:rightChars="50"/>
        <w:jc w:val="right"/>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 xml:space="preserve">                                               报价单位：人民币元</w:t>
      </w:r>
    </w:p>
    <w:tbl>
      <w:tblPr>
        <w:tblStyle w:val="19"/>
        <w:tblW w:w="7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2563"/>
        <w:gridCol w:w="1948"/>
        <w:gridCol w:w="1523"/>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84" w:type="dxa"/>
            <w:vAlign w:val="center"/>
          </w:tcPr>
          <w:p>
            <w:pPr>
              <w:adjustRightInd w:val="0"/>
              <w:snapToGrid w:val="0"/>
              <w:ind w:left="-86" w:leftChars="-41" w:right="-67" w:rightChars="-32"/>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标段号</w:t>
            </w:r>
          </w:p>
        </w:tc>
        <w:tc>
          <w:tcPr>
            <w:tcW w:w="2563" w:type="dxa"/>
            <w:vAlign w:val="center"/>
          </w:tcPr>
          <w:p>
            <w:pPr>
              <w:adjustRightInd w:val="0"/>
              <w:snapToGrid w:val="0"/>
              <w:ind w:left="-86" w:leftChars="-41" w:right="-67" w:rightChars="-32"/>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招标项目名称</w:t>
            </w:r>
          </w:p>
        </w:tc>
        <w:tc>
          <w:tcPr>
            <w:tcW w:w="1948" w:type="dxa"/>
            <w:vAlign w:val="center"/>
          </w:tcPr>
          <w:p>
            <w:pPr>
              <w:adjustRightInd w:val="0"/>
              <w:snapToGrid w:val="0"/>
              <w:ind w:left="-86" w:leftChars="-41" w:right="-67" w:rightChars="-32"/>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投标总价</w:t>
            </w:r>
          </w:p>
        </w:tc>
        <w:tc>
          <w:tcPr>
            <w:tcW w:w="1523" w:type="dxa"/>
            <w:vAlign w:val="center"/>
          </w:tcPr>
          <w:p>
            <w:pPr>
              <w:adjustRightInd w:val="0"/>
              <w:snapToGrid w:val="0"/>
              <w:ind w:left="-86" w:leftChars="-41" w:right="-67" w:rightChars="-32"/>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工期（天）</w:t>
            </w:r>
          </w:p>
        </w:tc>
        <w:tc>
          <w:tcPr>
            <w:tcW w:w="1101" w:type="dxa"/>
            <w:vAlign w:val="center"/>
          </w:tcPr>
          <w:p>
            <w:pPr>
              <w:adjustRightInd w:val="0"/>
              <w:snapToGrid w:val="0"/>
              <w:ind w:left="-86" w:leftChars="-41" w:right="-67" w:rightChars="-32"/>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784" w:type="dxa"/>
            <w:vAlign w:val="center"/>
          </w:tcPr>
          <w:p>
            <w:pPr>
              <w:adjustRightInd w:val="0"/>
              <w:snapToGrid w:val="0"/>
              <w:ind w:right="105" w:rightChars="50"/>
              <w:jc w:val="left"/>
              <w:rPr>
                <w:rFonts w:ascii="仿宋_GB2312" w:hAnsi="仿宋_GB2312" w:eastAsia="仿宋_GB2312" w:cs="仿宋_GB2312"/>
                <w:color w:val="auto"/>
                <w:szCs w:val="21"/>
              </w:rPr>
            </w:pPr>
          </w:p>
        </w:tc>
        <w:tc>
          <w:tcPr>
            <w:tcW w:w="2563" w:type="dxa"/>
            <w:vAlign w:val="center"/>
          </w:tcPr>
          <w:p>
            <w:pPr>
              <w:adjustRightInd w:val="0"/>
              <w:snapToGrid w:val="0"/>
              <w:ind w:right="105" w:rightChars="50"/>
              <w:jc w:val="left"/>
              <w:rPr>
                <w:rFonts w:ascii="仿宋_GB2312" w:hAnsi="仿宋_GB2312" w:eastAsia="仿宋_GB2312" w:cs="仿宋_GB2312"/>
                <w:color w:val="auto"/>
                <w:szCs w:val="21"/>
              </w:rPr>
            </w:pPr>
          </w:p>
        </w:tc>
        <w:tc>
          <w:tcPr>
            <w:tcW w:w="1948" w:type="dxa"/>
            <w:vAlign w:val="center"/>
          </w:tcPr>
          <w:p>
            <w:pPr>
              <w:adjustRightInd w:val="0"/>
              <w:snapToGrid w:val="0"/>
              <w:ind w:right="105" w:rightChars="5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大写：</w:t>
            </w:r>
          </w:p>
          <w:p>
            <w:pPr>
              <w:adjustRightInd w:val="0"/>
              <w:snapToGrid w:val="0"/>
              <w:ind w:right="105" w:rightChars="5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小写：</w:t>
            </w:r>
          </w:p>
        </w:tc>
        <w:tc>
          <w:tcPr>
            <w:tcW w:w="1523" w:type="dxa"/>
            <w:vAlign w:val="center"/>
          </w:tcPr>
          <w:p>
            <w:pPr>
              <w:adjustRightInd w:val="0"/>
              <w:snapToGrid w:val="0"/>
              <w:ind w:right="105" w:rightChars="50"/>
              <w:jc w:val="center"/>
              <w:rPr>
                <w:rFonts w:ascii="仿宋_GB2312" w:hAnsi="仿宋_GB2312" w:eastAsia="仿宋_GB2312" w:cs="仿宋_GB2312"/>
                <w:color w:val="auto"/>
                <w:szCs w:val="21"/>
              </w:rPr>
            </w:pPr>
          </w:p>
        </w:tc>
        <w:tc>
          <w:tcPr>
            <w:tcW w:w="1101" w:type="dxa"/>
            <w:vAlign w:val="center"/>
          </w:tcPr>
          <w:p>
            <w:pPr>
              <w:adjustRightInd w:val="0"/>
              <w:snapToGrid w:val="0"/>
              <w:ind w:right="105" w:rightChars="50"/>
              <w:jc w:val="center"/>
              <w:rPr>
                <w:rFonts w:ascii="仿宋_GB2312" w:hAnsi="仿宋_GB2312" w:eastAsia="仿宋_GB2312" w:cs="仿宋_GB2312"/>
                <w:color w:val="auto"/>
                <w:szCs w:val="21"/>
              </w:rPr>
            </w:pPr>
          </w:p>
        </w:tc>
      </w:tr>
    </w:tbl>
    <w:p>
      <w:pPr>
        <w:adjustRightInd w:val="0"/>
        <w:snapToGrid w:val="0"/>
        <w:spacing w:line="360" w:lineRule="auto"/>
        <w:ind w:right="105" w:rightChars="50"/>
        <w:jc w:val="left"/>
        <w:rPr>
          <w:rFonts w:ascii="仿宋_GB2312" w:hAnsi="仿宋_GB2312" w:eastAsia="仿宋_GB2312" w:cs="仿宋_GB2312"/>
          <w:color w:val="auto"/>
          <w:szCs w:val="21"/>
        </w:rPr>
      </w:pPr>
    </w:p>
    <w:p>
      <w:pPr>
        <w:adjustRightInd w:val="0"/>
        <w:snapToGrid w:val="0"/>
        <w:spacing w:line="360" w:lineRule="auto"/>
        <w:ind w:right="105" w:rightChars="5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注：此表中，投标总价应与分项报价表的总价相一致</w:t>
      </w:r>
    </w:p>
    <w:p>
      <w:pPr>
        <w:adjustRightInd w:val="0"/>
        <w:snapToGrid w:val="0"/>
        <w:spacing w:line="360" w:lineRule="auto"/>
        <w:ind w:right="105" w:rightChars="50"/>
        <w:jc w:val="left"/>
        <w:rPr>
          <w:rFonts w:ascii="仿宋_GB2312" w:hAnsi="仿宋_GB2312" w:eastAsia="仿宋_GB2312" w:cs="仿宋_GB2312"/>
          <w:color w:val="auto"/>
          <w:szCs w:val="21"/>
        </w:rPr>
      </w:pPr>
    </w:p>
    <w:p>
      <w:pPr>
        <w:adjustRightInd w:val="0"/>
        <w:snapToGrid w:val="0"/>
        <w:spacing w:line="360" w:lineRule="auto"/>
        <w:ind w:right="105" w:rightChars="50"/>
        <w:jc w:val="left"/>
        <w:rPr>
          <w:rFonts w:ascii="仿宋_GB2312" w:hAnsi="仿宋_GB2312" w:eastAsia="仿宋_GB2312" w:cs="仿宋_GB2312"/>
          <w:color w:val="auto"/>
          <w:szCs w:val="21"/>
        </w:rPr>
      </w:pPr>
    </w:p>
    <w:p>
      <w:pPr>
        <w:spacing w:line="480" w:lineRule="auto"/>
        <w:rPr>
          <w:rFonts w:ascii="仿宋_GB2312" w:hAnsi="仿宋_GB2312" w:eastAsia="仿宋_GB2312" w:cs="仿宋_GB2312"/>
          <w:color w:val="auto"/>
        </w:rPr>
      </w:pPr>
      <w:r>
        <w:rPr>
          <w:rFonts w:hint="eastAsia" w:ascii="仿宋_GB2312" w:hAnsi="仿宋_GB2312" w:eastAsia="仿宋_GB2312" w:cs="仿宋_GB2312"/>
          <w:color w:val="auto"/>
        </w:rPr>
        <w:t>投标人名称（加盖单位公章）：</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 xml:space="preserve">        </w:t>
      </w:r>
    </w:p>
    <w:p>
      <w:pPr>
        <w:spacing w:line="480" w:lineRule="auto"/>
        <w:rPr>
          <w:rFonts w:ascii="仿宋_GB2312" w:hAnsi="仿宋_GB2312" w:eastAsia="仿宋_GB2312" w:cs="仿宋_GB2312"/>
          <w:color w:val="auto"/>
        </w:rPr>
      </w:pPr>
      <w:r>
        <w:rPr>
          <w:rFonts w:hint="eastAsia" w:ascii="仿宋_GB2312" w:hAnsi="仿宋_GB2312" w:eastAsia="仿宋_GB2312" w:cs="仿宋_GB2312"/>
          <w:color w:val="auto"/>
        </w:rPr>
        <w:t>法定代表人</w:t>
      </w:r>
      <w:r>
        <w:rPr>
          <w:rFonts w:hint="eastAsia" w:ascii="仿宋_GB2312" w:hAnsi="仿宋_GB2312" w:eastAsia="仿宋_GB2312" w:cs="仿宋_GB2312"/>
          <w:color w:val="auto"/>
          <w:szCs w:val="21"/>
        </w:rPr>
        <w:t>或</w:t>
      </w:r>
      <w:r>
        <w:rPr>
          <w:rFonts w:hint="eastAsia" w:ascii="仿宋_GB2312" w:hAnsi="仿宋_GB2312" w:eastAsia="仿宋_GB2312" w:cs="仿宋_GB2312"/>
          <w:color w:val="auto"/>
        </w:rPr>
        <w:t>其授权委托人(签字或盖章)：</w:t>
      </w:r>
      <w:r>
        <w:rPr>
          <w:rFonts w:hint="eastAsia" w:ascii="仿宋_GB2312" w:hAnsi="仿宋_GB2312" w:eastAsia="仿宋_GB2312" w:cs="仿宋_GB2312"/>
          <w:color w:val="auto"/>
          <w:u w:val="single"/>
        </w:rPr>
        <w:t xml:space="preserve">          </w:t>
      </w:r>
    </w:p>
    <w:p>
      <w:pPr>
        <w:spacing w:line="480" w:lineRule="auto"/>
        <w:rPr>
          <w:rFonts w:ascii="仿宋_GB2312" w:hAnsi="仿宋_GB2312" w:eastAsia="仿宋_GB2312" w:cs="仿宋_GB2312"/>
          <w:color w:val="auto"/>
        </w:rPr>
      </w:pPr>
      <w:r>
        <w:rPr>
          <w:rFonts w:hint="eastAsia" w:ascii="仿宋_GB2312" w:hAnsi="仿宋_GB2312" w:eastAsia="仿宋_GB2312" w:cs="仿宋_GB2312"/>
          <w:color w:val="auto"/>
        </w:rPr>
        <w:t xml:space="preserve">日期： </w:t>
      </w:r>
      <w:r>
        <w:rPr>
          <w:rFonts w:hint="eastAsia" w:ascii="仿宋_GB2312" w:hAnsi="仿宋_GB2312" w:eastAsia="仿宋_GB2312" w:cs="仿宋_GB2312"/>
          <w:color w:val="auto"/>
          <w:u w:val="single"/>
        </w:rPr>
        <w:t xml:space="preserve">              </w:t>
      </w:r>
    </w:p>
    <w:p>
      <w:pPr>
        <w:adjustRightInd w:val="0"/>
        <w:snapToGrid w:val="0"/>
        <w:spacing w:line="360" w:lineRule="auto"/>
        <w:ind w:right="105" w:rightChars="50" w:firstLine="420" w:firstLineChars="200"/>
        <w:jc w:val="left"/>
        <w:rPr>
          <w:rFonts w:ascii="仿宋_GB2312" w:hAnsi="仿宋_GB2312" w:eastAsia="仿宋_GB2312" w:cs="仿宋_GB2312"/>
          <w:color w:val="auto"/>
          <w:szCs w:val="21"/>
          <w:u w:val="single"/>
        </w:rPr>
      </w:pPr>
    </w:p>
    <w:p>
      <w:pPr>
        <w:adjustRightInd w:val="0"/>
        <w:snapToGrid w:val="0"/>
        <w:spacing w:line="360" w:lineRule="auto"/>
        <w:ind w:right="105" w:rightChars="50" w:firstLine="420" w:firstLineChars="20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br w:type="page"/>
      </w:r>
    </w:p>
    <w:p>
      <w:pPr>
        <w:pStyle w:val="3"/>
        <w:adjustRightInd w:val="0"/>
        <w:snapToGrid w:val="0"/>
        <w:spacing w:before="0" w:after="0" w:line="240" w:lineRule="auto"/>
        <w:jc w:val="left"/>
        <w:rPr>
          <w:rFonts w:ascii="仿宋_GB2312" w:hAnsi="仿宋_GB2312" w:eastAsia="仿宋_GB2312" w:cs="仿宋_GB2312"/>
          <w:color w:val="auto"/>
          <w:sz w:val="28"/>
          <w:szCs w:val="28"/>
        </w:rPr>
      </w:pPr>
    </w:p>
    <w:p>
      <w:pPr>
        <w:spacing w:before="319" w:beforeLines="100" w:after="319" w:afterLines="100" w:line="360" w:lineRule="auto"/>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分项报价表（服务/工程适用）</w:t>
      </w:r>
    </w:p>
    <w:p>
      <w:pPr>
        <w:adjustRightInd w:val="0"/>
        <w:snapToGrid w:val="0"/>
        <w:spacing w:line="360" w:lineRule="auto"/>
        <w:ind w:right="105" w:rightChars="50"/>
        <w:jc w:val="left"/>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包号：                                                 报价单位（元）：</w:t>
      </w:r>
    </w:p>
    <w:tbl>
      <w:tblPr>
        <w:tblStyle w:val="19"/>
        <w:tblW w:w="8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1"/>
        <w:gridCol w:w="2677"/>
        <w:gridCol w:w="545"/>
        <w:gridCol w:w="637"/>
        <w:gridCol w:w="867"/>
        <w:gridCol w:w="1690"/>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561" w:type="dxa"/>
            <w:vAlign w:val="center"/>
          </w:tcPr>
          <w:p>
            <w:pPr>
              <w:adjustRightInd w:val="0"/>
              <w:snapToGrid w:val="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序号</w:t>
            </w:r>
          </w:p>
        </w:tc>
        <w:tc>
          <w:tcPr>
            <w:tcW w:w="2677" w:type="dxa"/>
            <w:vAlign w:val="center"/>
          </w:tcPr>
          <w:p>
            <w:pPr>
              <w:adjustRightInd w:val="0"/>
              <w:snapToGrid w:val="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分项名称</w:t>
            </w:r>
          </w:p>
        </w:tc>
        <w:tc>
          <w:tcPr>
            <w:tcW w:w="545" w:type="dxa"/>
            <w:vAlign w:val="center"/>
          </w:tcPr>
          <w:p>
            <w:pPr>
              <w:adjustRightInd w:val="0"/>
              <w:snapToGrid w:val="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单位</w:t>
            </w:r>
          </w:p>
        </w:tc>
        <w:tc>
          <w:tcPr>
            <w:tcW w:w="637" w:type="dxa"/>
            <w:vAlign w:val="center"/>
          </w:tcPr>
          <w:p>
            <w:pPr>
              <w:adjustRightInd w:val="0"/>
              <w:snapToGrid w:val="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数量</w:t>
            </w:r>
          </w:p>
        </w:tc>
        <w:tc>
          <w:tcPr>
            <w:tcW w:w="867" w:type="dxa"/>
            <w:vAlign w:val="center"/>
          </w:tcPr>
          <w:p>
            <w:pPr>
              <w:adjustRightInd w:val="0"/>
              <w:snapToGrid w:val="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单价</w:t>
            </w:r>
          </w:p>
        </w:tc>
        <w:tc>
          <w:tcPr>
            <w:tcW w:w="1690" w:type="dxa"/>
            <w:vAlign w:val="center"/>
          </w:tcPr>
          <w:p>
            <w:pPr>
              <w:adjustRightInd w:val="0"/>
              <w:snapToGrid w:val="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合价</w:t>
            </w:r>
          </w:p>
        </w:tc>
        <w:tc>
          <w:tcPr>
            <w:tcW w:w="1188" w:type="dxa"/>
            <w:vAlign w:val="center"/>
          </w:tcPr>
          <w:p>
            <w:pPr>
              <w:adjustRightInd w:val="0"/>
              <w:snapToGrid w:val="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61" w:type="dxa"/>
            <w:vAlign w:val="center"/>
          </w:tcPr>
          <w:p>
            <w:pPr>
              <w:adjustRightInd w:val="0"/>
              <w:snapToGrid w:val="0"/>
              <w:jc w:val="center"/>
              <w:rPr>
                <w:rFonts w:ascii="仿宋_GB2312" w:hAnsi="仿宋_GB2312" w:eastAsia="仿宋_GB2312" w:cs="仿宋_GB2312"/>
                <w:color w:val="auto"/>
                <w:szCs w:val="21"/>
              </w:rPr>
            </w:pPr>
          </w:p>
        </w:tc>
        <w:tc>
          <w:tcPr>
            <w:tcW w:w="2677" w:type="dxa"/>
            <w:vAlign w:val="center"/>
          </w:tcPr>
          <w:p>
            <w:pPr>
              <w:adjustRightInd w:val="0"/>
              <w:snapToGrid w:val="0"/>
              <w:jc w:val="center"/>
              <w:rPr>
                <w:rFonts w:ascii="仿宋_GB2312" w:hAnsi="仿宋_GB2312" w:eastAsia="仿宋_GB2312" w:cs="仿宋_GB2312"/>
                <w:color w:val="auto"/>
                <w:szCs w:val="21"/>
              </w:rPr>
            </w:pPr>
          </w:p>
        </w:tc>
        <w:tc>
          <w:tcPr>
            <w:tcW w:w="545" w:type="dxa"/>
            <w:vAlign w:val="center"/>
          </w:tcPr>
          <w:p>
            <w:pPr>
              <w:adjustRightInd w:val="0"/>
              <w:snapToGrid w:val="0"/>
              <w:jc w:val="center"/>
              <w:rPr>
                <w:rFonts w:ascii="仿宋_GB2312" w:hAnsi="仿宋_GB2312" w:eastAsia="仿宋_GB2312" w:cs="仿宋_GB2312"/>
                <w:color w:val="auto"/>
                <w:szCs w:val="21"/>
              </w:rPr>
            </w:pPr>
          </w:p>
        </w:tc>
        <w:tc>
          <w:tcPr>
            <w:tcW w:w="637" w:type="dxa"/>
            <w:vAlign w:val="center"/>
          </w:tcPr>
          <w:p>
            <w:pPr>
              <w:adjustRightInd w:val="0"/>
              <w:snapToGrid w:val="0"/>
              <w:jc w:val="center"/>
              <w:rPr>
                <w:rFonts w:ascii="仿宋_GB2312" w:hAnsi="仿宋_GB2312" w:eastAsia="仿宋_GB2312" w:cs="仿宋_GB2312"/>
                <w:color w:val="auto"/>
                <w:szCs w:val="21"/>
              </w:rPr>
            </w:pPr>
          </w:p>
        </w:tc>
        <w:tc>
          <w:tcPr>
            <w:tcW w:w="867" w:type="dxa"/>
            <w:vAlign w:val="center"/>
          </w:tcPr>
          <w:p>
            <w:pPr>
              <w:adjustRightInd w:val="0"/>
              <w:snapToGrid w:val="0"/>
              <w:jc w:val="center"/>
              <w:rPr>
                <w:rFonts w:ascii="仿宋_GB2312" w:hAnsi="仿宋_GB2312" w:eastAsia="仿宋_GB2312" w:cs="仿宋_GB2312"/>
                <w:color w:val="auto"/>
                <w:szCs w:val="21"/>
              </w:rPr>
            </w:pPr>
          </w:p>
        </w:tc>
        <w:tc>
          <w:tcPr>
            <w:tcW w:w="1690" w:type="dxa"/>
            <w:vAlign w:val="center"/>
          </w:tcPr>
          <w:p>
            <w:pPr>
              <w:adjustRightInd w:val="0"/>
              <w:snapToGrid w:val="0"/>
              <w:jc w:val="center"/>
              <w:rPr>
                <w:rFonts w:ascii="仿宋_GB2312" w:hAnsi="仿宋_GB2312" w:eastAsia="仿宋_GB2312" w:cs="仿宋_GB2312"/>
                <w:color w:val="auto"/>
                <w:szCs w:val="21"/>
              </w:rPr>
            </w:pPr>
          </w:p>
        </w:tc>
        <w:tc>
          <w:tcPr>
            <w:tcW w:w="1188" w:type="dxa"/>
            <w:vAlign w:val="center"/>
          </w:tcPr>
          <w:p>
            <w:pPr>
              <w:adjustRightInd w:val="0"/>
              <w:snapToGrid w:val="0"/>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561" w:type="dxa"/>
            <w:vAlign w:val="center"/>
          </w:tcPr>
          <w:p>
            <w:pPr>
              <w:adjustRightInd w:val="0"/>
              <w:snapToGrid w:val="0"/>
              <w:jc w:val="center"/>
              <w:rPr>
                <w:rFonts w:ascii="仿宋_GB2312" w:hAnsi="仿宋_GB2312" w:eastAsia="仿宋_GB2312" w:cs="仿宋_GB2312"/>
                <w:color w:val="auto"/>
                <w:szCs w:val="21"/>
              </w:rPr>
            </w:pPr>
          </w:p>
        </w:tc>
        <w:tc>
          <w:tcPr>
            <w:tcW w:w="2677" w:type="dxa"/>
            <w:vAlign w:val="center"/>
          </w:tcPr>
          <w:p>
            <w:pPr>
              <w:adjustRightInd w:val="0"/>
              <w:snapToGrid w:val="0"/>
              <w:jc w:val="center"/>
              <w:rPr>
                <w:rFonts w:ascii="仿宋_GB2312" w:hAnsi="仿宋_GB2312" w:eastAsia="仿宋_GB2312" w:cs="仿宋_GB2312"/>
                <w:color w:val="auto"/>
                <w:szCs w:val="21"/>
              </w:rPr>
            </w:pPr>
          </w:p>
        </w:tc>
        <w:tc>
          <w:tcPr>
            <w:tcW w:w="545" w:type="dxa"/>
            <w:vAlign w:val="center"/>
          </w:tcPr>
          <w:p>
            <w:pPr>
              <w:adjustRightInd w:val="0"/>
              <w:snapToGrid w:val="0"/>
              <w:jc w:val="center"/>
              <w:rPr>
                <w:rFonts w:ascii="仿宋_GB2312" w:hAnsi="仿宋_GB2312" w:eastAsia="仿宋_GB2312" w:cs="仿宋_GB2312"/>
                <w:color w:val="auto"/>
                <w:szCs w:val="21"/>
              </w:rPr>
            </w:pPr>
          </w:p>
        </w:tc>
        <w:tc>
          <w:tcPr>
            <w:tcW w:w="637" w:type="dxa"/>
            <w:vAlign w:val="center"/>
          </w:tcPr>
          <w:p>
            <w:pPr>
              <w:adjustRightInd w:val="0"/>
              <w:snapToGrid w:val="0"/>
              <w:jc w:val="center"/>
              <w:rPr>
                <w:rFonts w:ascii="仿宋_GB2312" w:hAnsi="仿宋_GB2312" w:eastAsia="仿宋_GB2312" w:cs="仿宋_GB2312"/>
                <w:color w:val="auto"/>
                <w:szCs w:val="21"/>
              </w:rPr>
            </w:pPr>
          </w:p>
        </w:tc>
        <w:tc>
          <w:tcPr>
            <w:tcW w:w="867" w:type="dxa"/>
            <w:vAlign w:val="center"/>
          </w:tcPr>
          <w:p>
            <w:pPr>
              <w:adjustRightInd w:val="0"/>
              <w:snapToGrid w:val="0"/>
              <w:jc w:val="center"/>
              <w:rPr>
                <w:rFonts w:ascii="仿宋_GB2312" w:hAnsi="仿宋_GB2312" w:eastAsia="仿宋_GB2312" w:cs="仿宋_GB2312"/>
                <w:color w:val="auto"/>
                <w:szCs w:val="21"/>
              </w:rPr>
            </w:pPr>
          </w:p>
        </w:tc>
        <w:tc>
          <w:tcPr>
            <w:tcW w:w="1690" w:type="dxa"/>
            <w:vAlign w:val="center"/>
          </w:tcPr>
          <w:p>
            <w:pPr>
              <w:adjustRightInd w:val="0"/>
              <w:snapToGrid w:val="0"/>
              <w:jc w:val="center"/>
              <w:rPr>
                <w:rFonts w:ascii="仿宋_GB2312" w:hAnsi="仿宋_GB2312" w:eastAsia="仿宋_GB2312" w:cs="仿宋_GB2312"/>
                <w:color w:val="auto"/>
                <w:szCs w:val="21"/>
              </w:rPr>
            </w:pPr>
          </w:p>
        </w:tc>
        <w:tc>
          <w:tcPr>
            <w:tcW w:w="1188" w:type="dxa"/>
            <w:vAlign w:val="center"/>
          </w:tcPr>
          <w:p>
            <w:pPr>
              <w:adjustRightInd w:val="0"/>
              <w:snapToGrid w:val="0"/>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61" w:type="dxa"/>
            <w:vAlign w:val="center"/>
          </w:tcPr>
          <w:p>
            <w:pPr>
              <w:adjustRightInd w:val="0"/>
              <w:snapToGrid w:val="0"/>
              <w:jc w:val="center"/>
              <w:rPr>
                <w:rFonts w:ascii="仿宋_GB2312" w:hAnsi="仿宋_GB2312" w:eastAsia="仿宋_GB2312" w:cs="仿宋_GB2312"/>
                <w:color w:val="auto"/>
                <w:szCs w:val="21"/>
              </w:rPr>
            </w:pPr>
          </w:p>
        </w:tc>
        <w:tc>
          <w:tcPr>
            <w:tcW w:w="2677" w:type="dxa"/>
            <w:vAlign w:val="center"/>
          </w:tcPr>
          <w:p>
            <w:pPr>
              <w:adjustRightInd w:val="0"/>
              <w:snapToGrid w:val="0"/>
              <w:jc w:val="center"/>
              <w:rPr>
                <w:rFonts w:ascii="仿宋_GB2312" w:hAnsi="仿宋_GB2312" w:eastAsia="仿宋_GB2312" w:cs="仿宋_GB2312"/>
                <w:color w:val="auto"/>
                <w:szCs w:val="21"/>
              </w:rPr>
            </w:pPr>
          </w:p>
        </w:tc>
        <w:tc>
          <w:tcPr>
            <w:tcW w:w="545" w:type="dxa"/>
            <w:vAlign w:val="center"/>
          </w:tcPr>
          <w:p>
            <w:pPr>
              <w:adjustRightInd w:val="0"/>
              <w:snapToGrid w:val="0"/>
              <w:jc w:val="center"/>
              <w:rPr>
                <w:rFonts w:ascii="仿宋_GB2312" w:hAnsi="仿宋_GB2312" w:eastAsia="仿宋_GB2312" w:cs="仿宋_GB2312"/>
                <w:color w:val="auto"/>
                <w:szCs w:val="21"/>
              </w:rPr>
            </w:pPr>
          </w:p>
        </w:tc>
        <w:tc>
          <w:tcPr>
            <w:tcW w:w="637" w:type="dxa"/>
            <w:vAlign w:val="center"/>
          </w:tcPr>
          <w:p>
            <w:pPr>
              <w:adjustRightInd w:val="0"/>
              <w:snapToGrid w:val="0"/>
              <w:jc w:val="center"/>
              <w:rPr>
                <w:rFonts w:ascii="仿宋_GB2312" w:hAnsi="仿宋_GB2312" w:eastAsia="仿宋_GB2312" w:cs="仿宋_GB2312"/>
                <w:color w:val="auto"/>
                <w:szCs w:val="21"/>
              </w:rPr>
            </w:pPr>
          </w:p>
        </w:tc>
        <w:tc>
          <w:tcPr>
            <w:tcW w:w="867" w:type="dxa"/>
            <w:vAlign w:val="center"/>
          </w:tcPr>
          <w:p>
            <w:pPr>
              <w:adjustRightInd w:val="0"/>
              <w:snapToGrid w:val="0"/>
              <w:jc w:val="center"/>
              <w:rPr>
                <w:rFonts w:ascii="仿宋_GB2312" w:hAnsi="仿宋_GB2312" w:eastAsia="仿宋_GB2312" w:cs="仿宋_GB2312"/>
                <w:color w:val="auto"/>
                <w:szCs w:val="21"/>
              </w:rPr>
            </w:pPr>
          </w:p>
        </w:tc>
        <w:tc>
          <w:tcPr>
            <w:tcW w:w="1690" w:type="dxa"/>
            <w:vAlign w:val="center"/>
          </w:tcPr>
          <w:p>
            <w:pPr>
              <w:adjustRightInd w:val="0"/>
              <w:snapToGrid w:val="0"/>
              <w:jc w:val="center"/>
              <w:rPr>
                <w:rFonts w:ascii="仿宋_GB2312" w:hAnsi="仿宋_GB2312" w:eastAsia="仿宋_GB2312" w:cs="仿宋_GB2312"/>
                <w:color w:val="auto"/>
                <w:szCs w:val="21"/>
              </w:rPr>
            </w:pPr>
          </w:p>
        </w:tc>
        <w:tc>
          <w:tcPr>
            <w:tcW w:w="1188" w:type="dxa"/>
            <w:vAlign w:val="center"/>
          </w:tcPr>
          <w:p>
            <w:pPr>
              <w:adjustRightInd w:val="0"/>
              <w:snapToGrid w:val="0"/>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61" w:type="dxa"/>
            <w:vAlign w:val="center"/>
          </w:tcPr>
          <w:p>
            <w:pPr>
              <w:adjustRightInd w:val="0"/>
              <w:snapToGrid w:val="0"/>
              <w:jc w:val="center"/>
              <w:rPr>
                <w:rFonts w:ascii="仿宋_GB2312" w:hAnsi="仿宋_GB2312" w:eastAsia="仿宋_GB2312" w:cs="仿宋_GB2312"/>
                <w:color w:val="auto"/>
                <w:szCs w:val="21"/>
              </w:rPr>
            </w:pPr>
          </w:p>
        </w:tc>
        <w:tc>
          <w:tcPr>
            <w:tcW w:w="2677" w:type="dxa"/>
            <w:vAlign w:val="center"/>
          </w:tcPr>
          <w:p>
            <w:pPr>
              <w:adjustRightInd w:val="0"/>
              <w:snapToGrid w:val="0"/>
              <w:jc w:val="center"/>
              <w:rPr>
                <w:rFonts w:ascii="仿宋_GB2312" w:hAnsi="仿宋_GB2312" w:eastAsia="仿宋_GB2312" w:cs="仿宋_GB2312"/>
                <w:color w:val="auto"/>
                <w:szCs w:val="21"/>
              </w:rPr>
            </w:pPr>
          </w:p>
        </w:tc>
        <w:tc>
          <w:tcPr>
            <w:tcW w:w="545" w:type="dxa"/>
            <w:vAlign w:val="center"/>
          </w:tcPr>
          <w:p>
            <w:pPr>
              <w:adjustRightInd w:val="0"/>
              <w:snapToGrid w:val="0"/>
              <w:jc w:val="center"/>
              <w:rPr>
                <w:rFonts w:ascii="仿宋_GB2312" w:hAnsi="仿宋_GB2312" w:eastAsia="仿宋_GB2312" w:cs="仿宋_GB2312"/>
                <w:color w:val="auto"/>
                <w:szCs w:val="21"/>
              </w:rPr>
            </w:pPr>
          </w:p>
        </w:tc>
        <w:tc>
          <w:tcPr>
            <w:tcW w:w="637" w:type="dxa"/>
            <w:vAlign w:val="center"/>
          </w:tcPr>
          <w:p>
            <w:pPr>
              <w:adjustRightInd w:val="0"/>
              <w:snapToGrid w:val="0"/>
              <w:jc w:val="center"/>
              <w:rPr>
                <w:rFonts w:ascii="仿宋_GB2312" w:hAnsi="仿宋_GB2312" w:eastAsia="仿宋_GB2312" w:cs="仿宋_GB2312"/>
                <w:color w:val="auto"/>
                <w:szCs w:val="21"/>
              </w:rPr>
            </w:pPr>
          </w:p>
        </w:tc>
        <w:tc>
          <w:tcPr>
            <w:tcW w:w="867" w:type="dxa"/>
            <w:vAlign w:val="center"/>
          </w:tcPr>
          <w:p>
            <w:pPr>
              <w:adjustRightInd w:val="0"/>
              <w:snapToGrid w:val="0"/>
              <w:jc w:val="center"/>
              <w:rPr>
                <w:rFonts w:ascii="仿宋_GB2312" w:hAnsi="仿宋_GB2312" w:eastAsia="仿宋_GB2312" w:cs="仿宋_GB2312"/>
                <w:color w:val="auto"/>
                <w:szCs w:val="21"/>
              </w:rPr>
            </w:pPr>
          </w:p>
        </w:tc>
        <w:tc>
          <w:tcPr>
            <w:tcW w:w="1690" w:type="dxa"/>
            <w:vAlign w:val="center"/>
          </w:tcPr>
          <w:p>
            <w:pPr>
              <w:adjustRightInd w:val="0"/>
              <w:snapToGrid w:val="0"/>
              <w:jc w:val="center"/>
              <w:rPr>
                <w:rFonts w:ascii="仿宋_GB2312" w:hAnsi="仿宋_GB2312" w:eastAsia="仿宋_GB2312" w:cs="仿宋_GB2312"/>
                <w:color w:val="auto"/>
                <w:szCs w:val="21"/>
              </w:rPr>
            </w:pPr>
          </w:p>
        </w:tc>
        <w:tc>
          <w:tcPr>
            <w:tcW w:w="1188" w:type="dxa"/>
            <w:vAlign w:val="center"/>
          </w:tcPr>
          <w:p>
            <w:pPr>
              <w:adjustRightInd w:val="0"/>
              <w:snapToGrid w:val="0"/>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61" w:type="dxa"/>
            <w:vAlign w:val="center"/>
          </w:tcPr>
          <w:p>
            <w:pPr>
              <w:adjustRightInd w:val="0"/>
              <w:snapToGrid w:val="0"/>
              <w:jc w:val="center"/>
              <w:rPr>
                <w:rFonts w:ascii="仿宋_GB2312" w:hAnsi="仿宋_GB2312" w:eastAsia="仿宋_GB2312" w:cs="仿宋_GB2312"/>
                <w:color w:val="auto"/>
                <w:szCs w:val="21"/>
              </w:rPr>
            </w:pPr>
          </w:p>
        </w:tc>
        <w:tc>
          <w:tcPr>
            <w:tcW w:w="2677" w:type="dxa"/>
            <w:vAlign w:val="center"/>
          </w:tcPr>
          <w:p>
            <w:pPr>
              <w:adjustRightInd w:val="0"/>
              <w:snapToGrid w:val="0"/>
              <w:jc w:val="center"/>
              <w:rPr>
                <w:rFonts w:ascii="仿宋_GB2312" w:hAnsi="仿宋_GB2312" w:eastAsia="仿宋_GB2312" w:cs="仿宋_GB2312"/>
                <w:color w:val="auto"/>
                <w:szCs w:val="21"/>
              </w:rPr>
            </w:pPr>
          </w:p>
        </w:tc>
        <w:tc>
          <w:tcPr>
            <w:tcW w:w="545" w:type="dxa"/>
            <w:vAlign w:val="center"/>
          </w:tcPr>
          <w:p>
            <w:pPr>
              <w:adjustRightInd w:val="0"/>
              <w:snapToGrid w:val="0"/>
              <w:jc w:val="center"/>
              <w:rPr>
                <w:rFonts w:ascii="仿宋_GB2312" w:hAnsi="仿宋_GB2312" w:eastAsia="仿宋_GB2312" w:cs="仿宋_GB2312"/>
                <w:color w:val="auto"/>
                <w:szCs w:val="21"/>
              </w:rPr>
            </w:pPr>
          </w:p>
        </w:tc>
        <w:tc>
          <w:tcPr>
            <w:tcW w:w="637" w:type="dxa"/>
            <w:vAlign w:val="center"/>
          </w:tcPr>
          <w:p>
            <w:pPr>
              <w:adjustRightInd w:val="0"/>
              <w:snapToGrid w:val="0"/>
              <w:jc w:val="center"/>
              <w:rPr>
                <w:rFonts w:ascii="仿宋_GB2312" w:hAnsi="仿宋_GB2312" w:eastAsia="仿宋_GB2312" w:cs="仿宋_GB2312"/>
                <w:color w:val="auto"/>
                <w:szCs w:val="21"/>
              </w:rPr>
            </w:pPr>
          </w:p>
        </w:tc>
        <w:tc>
          <w:tcPr>
            <w:tcW w:w="867" w:type="dxa"/>
            <w:vAlign w:val="center"/>
          </w:tcPr>
          <w:p>
            <w:pPr>
              <w:adjustRightInd w:val="0"/>
              <w:snapToGrid w:val="0"/>
              <w:jc w:val="center"/>
              <w:rPr>
                <w:rFonts w:ascii="仿宋_GB2312" w:hAnsi="仿宋_GB2312" w:eastAsia="仿宋_GB2312" w:cs="仿宋_GB2312"/>
                <w:color w:val="auto"/>
                <w:szCs w:val="21"/>
              </w:rPr>
            </w:pPr>
          </w:p>
        </w:tc>
        <w:tc>
          <w:tcPr>
            <w:tcW w:w="1690" w:type="dxa"/>
            <w:vAlign w:val="center"/>
          </w:tcPr>
          <w:p>
            <w:pPr>
              <w:adjustRightInd w:val="0"/>
              <w:snapToGrid w:val="0"/>
              <w:jc w:val="center"/>
              <w:rPr>
                <w:rFonts w:ascii="仿宋_GB2312" w:hAnsi="仿宋_GB2312" w:eastAsia="仿宋_GB2312" w:cs="仿宋_GB2312"/>
                <w:color w:val="auto"/>
                <w:szCs w:val="21"/>
              </w:rPr>
            </w:pPr>
          </w:p>
        </w:tc>
        <w:tc>
          <w:tcPr>
            <w:tcW w:w="1188" w:type="dxa"/>
            <w:vAlign w:val="center"/>
          </w:tcPr>
          <w:p>
            <w:pPr>
              <w:adjustRightInd w:val="0"/>
              <w:snapToGrid w:val="0"/>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61" w:type="dxa"/>
            <w:vAlign w:val="center"/>
          </w:tcPr>
          <w:p>
            <w:pPr>
              <w:adjustRightInd w:val="0"/>
              <w:snapToGrid w:val="0"/>
              <w:jc w:val="center"/>
              <w:rPr>
                <w:rFonts w:ascii="仿宋_GB2312" w:hAnsi="仿宋_GB2312" w:eastAsia="仿宋_GB2312" w:cs="仿宋_GB2312"/>
                <w:color w:val="auto"/>
                <w:szCs w:val="21"/>
              </w:rPr>
            </w:pPr>
          </w:p>
        </w:tc>
        <w:tc>
          <w:tcPr>
            <w:tcW w:w="2677" w:type="dxa"/>
            <w:vAlign w:val="center"/>
          </w:tcPr>
          <w:p>
            <w:pPr>
              <w:adjustRightInd w:val="0"/>
              <w:snapToGrid w:val="0"/>
              <w:jc w:val="center"/>
              <w:rPr>
                <w:rFonts w:ascii="仿宋_GB2312" w:hAnsi="仿宋_GB2312" w:eastAsia="仿宋_GB2312" w:cs="仿宋_GB2312"/>
                <w:color w:val="auto"/>
                <w:szCs w:val="21"/>
              </w:rPr>
            </w:pPr>
          </w:p>
        </w:tc>
        <w:tc>
          <w:tcPr>
            <w:tcW w:w="545" w:type="dxa"/>
            <w:vAlign w:val="center"/>
          </w:tcPr>
          <w:p>
            <w:pPr>
              <w:adjustRightInd w:val="0"/>
              <w:snapToGrid w:val="0"/>
              <w:jc w:val="center"/>
              <w:rPr>
                <w:rFonts w:ascii="仿宋_GB2312" w:hAnsi="仿宋_GB2312" w:eastAsia="仿宋_GB2312" w:cs="仿宋_GB2312"/>
                <w:color w:val="auto"/>
                <w:szCs w:val="21"/>
              </w:rPr>
            </w:pPr>
          </w:p>
        </w:tc>
        <w:tc>
          <w:tcPr>
            <w:tcW w:w="637" w:type="dxa"/>
            <w:vAlign w:val="center"/>
          </w:tcPr>
          <w:p>
            <w:pPr>
              <w:adjustRightInd w:val="0"/>
              <w:snapToGrid w:val="0"/>
              <w:jc w:val="center"/>
              <w:rPr>
                <w:rFonts w:ascii="仿宋_GB2312" w:hAnsi="仿宋_GB2312" w:eastAsia="仿宋_GB2312" w:cs="仿宋_GB2312"/>
                <w:color w:val="auto"/>
                <w:szCs w:val="21"/>
              </w:rPr>
            </w:pPr>
          </w:p>
        </w:tc>
        <w:tc>
          <w:tcPr>
            <w:tcW w:w="867" w:type="dxa"/>
            <w:vAlign w:val="center"/>
          </w:tcPr>
          <w:p>
            <w:pPr>
              <w:adjustRightInd w:val="0"/>
              <w:snapToGrid w:val="0"/>
              <w:jc w:val="center"/>
              <w:rPr>
                <w:rFonts w:ascii="仿宋_GB2312" w:hAnsi="仿宋_GB2312" w:eastAsia="仿宋_GB2312" w:cs="仿宋_GB2312"/>
                <w:color w:val="auto"/>
                <w:szCs w:val="21"/>
              </w:rPr>
            </w:pPr>
          </w:p>
        </w:tc>
        <w:tc>
          <w:tcPr>
            <w:tcW w:w="1690" w:type="dxa"/>
            <w:vAlign w:val="center"/>
          </w:tcPr>
          <w:p>
            <w:pPr>
              <w:adjustRightInd w:val="0"/>
              <w:snapToGrid w:val="0"/>
              <w:jc w:val="center"/>
              <w:rPr>
                <w:rFonts w:ascii="仿宋_GB2312" w:hAnsi="仿宋_GB2312" w:eastAsia="仿宋_GB2312" w:cs="仿宋_GB2312"/>
                <w:color w:val="auto"/>
                <w:szCs w:val="21"/>
              </w:rPr>
            </w:pPr>
          </w:p>
        </w:tc>
        <w:tc>
          <w:tcPr>
            <w:tcW w:w="1188" w:type="dxa"/>
            <w:vAlign w:val="center"/>
          </w:tcPr>
          <w:p>
            <w:pPr>
              <w:adjustRightInd w:val="0"/>
              <w:snapToGrid w:val="0"/>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61" w:type="dxa"/>
            <w:vAlign w:val="center"/>
          </w:tcPr>
          <w:p>
            <w:pPr>
              <w:adjustRightInd w:val="0"/>
              <w:snapToGrid w:val="0"/>
              <w:jc w:val="center"/>
              <w:rPr>
                <w:rFonts w:ascii="仿宋_GB2312" w:hAnsi="仿宋_GB2312" w:eastAsia="仿宋_GB2312" w:cs="仿宋_GB2312"/>
                <w:color w:val="auto"/>
                <w:szCs w:val="21"/>
              </w:rPr>
            </w:pPr>
          </w:p>
        </w:tc>
        <w:tc>
          <w:tcPr>
            <w:tcW w:w="2677" w:type="dxa"/>
            <w:vAlign w:val="center"/>
          </w:tcPr>
          <w:p>
            <w:pPr>
              <w:adjustRightInd w:val="0"/>
              <w:snapToGrid w:val="0"/>
              <w:jc w:val="center"/>
              <w:rPr>
                <w:rFonts w:ascii="仿宋_GB2312" w:hAnsi="仿宋_GB2312" w:eastAsia="仿宋_GB2312" w:cs="仿宋_GB2312"/>
                <w:color w:val="auto"/>
                <w:szCs w:val="21"/>
              </w:rPr>
            </w:pPr>
          </w:p>
        </w:tc>
        <w:tc>
          <w:tcPr>
            <w:tcW w:w="545" w:type="dxa"/>
            <w:vAlign w:val="center"/>
          </w:tcPr>
          <w:p>
            <w:pPr>
              <w:adjustRightInd w:val="0"/>
              <w:snapToGrid w:val="0"/>
              <w:jc w:val="center"/>
              <w:rPr>
                <w:rFonts w:ascii="仿宋_GB2312" w:hAnsi="仿宋_GB2312" w:eastAsia="仿宋_GB2312" w:cs="仿宋_GB2312"/>
                <w:color w:val="auto"/>
                <w:szCs w:val="21"/>
              </w:rPr>
            </w:pPr>
          </w:p>
        </w:tc>
        <w:tc>
          <w:tcPr>
            <w:tcW w:w="637" w:type="dxa"/>
            <w:vAlign w:val="center"/>
          </w:tcPr>
          <w:p>
            <w:pPr>
              <w:adjustRightInd w:val="0"/>
              <w:snapToGrid w:val="0"/>
              <w:jc w:val="center"/>
              <w:rPr>
                <w:rFonts w:ascii="仿宋_GB2312" w:hAnsi="仿宋_GB2312" w:eastAsia="仿宋_GB2312" w:cs="仿宋_GB2312"/>
                <w:color w:val="auto"/>
                <w:szCs w:val="21"/>
              </w:rPr>
            </w:pPr>
          </w:p>
        </w:tc>
        <w:tc>
          <w:tcPr>
            <w:tcW w:w="867" w:type="dxa"/>
            <w:vAlign w:val="center"/>
          </w:tcPr>
          <w:p>
            <w:pPr>
              <w:adjustRightInd w:val="0"/>
              <w:snapToGrid w:val="0"/>
              <w:jc w:val="center"/>
              <w:rPr>
                <w:rFonts w:ascii="仿宋_GB2312" w:hAnsi="仿宋_GB2312" w:eastAsia="仿宋_GB2312" w:cs="仿宋_GB2312"/>
                <w:color w:val="auto"/>
                <w:szCs w:val="21"/>
              </w:rPr>
            </w:pPr>
          </w:p>
        </w:tc>
        <w:tc>
          <w:tcPr>
            <w:tcW w:w="1690" w:type="dxa"/>
            <w:vAlign w:val="center"/>
          </w:tcPr>
          <w:p>
            <w:pPr>
              <w:adjustRightInd w:val="0"/>
              <w:snapToGrid w:val="0"/>
              <w:jc w:val="center"/>
              <w:rPr>
                <w:rFonts w:ascii="仿宋_GB2312" w:hAnsi="仿宋_GB2312" w:eastAsia="仿宋_GB2312" w:cs="仿宋_GB2312"/>
                <w:color w:val="auto"/>
                <w:szCs w:val="21"/>
              </w:rPr>
            </w:pPr>
          </w:p>
        </w:tc>
        <w:tc>
          <w:tcPr>
            <w:tcW w:w="1188" w:type="dxa"/>
            <w:vAlign w:val="center"/>
          </w:tcPr>
          <w:p>
            <w:pPr>
              <w:adjustRightInd w:val="0"/>
              <w:snapToGrid w:val="0"/>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3238" w:type="dxa"/>
            <w:gridSpan w:val="2"/>
            <w:vAlign w:val="center"/>
          </w:tcPr>
          <w:p>
            <w:pPr>
              <w:adjustRightInd w:val="0"/>
              <w:snapToGrid w:val="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总价</w:t>
            </w:r>
          </w:p>
        </w:tc>
        <w:tc>
          <w:tcPr>
            <w:tcW w:w="545" w:type="dxa"/>
            <w:vAlign w:val="center"/>
          </w:tcPr>
          <w:p>
            <w:pPr>
              <w:adjustRightInd w:val="0"/>
              <w:snapToGrid w:val="0"/>
              <w:jc w:val="center"/>
              <w:rPr>
                <w:rFonts w:ascii="仿宋_GB2312" w:hAnsi="仿宋_GB2312" w:eastAsia="仿宋_GB2312" w:cs="仿宋_GB2312"/>
                <w:color w:val="auto"/>
                <w:szCs w:val="21"/>
              </w:rPr>
            </w:pPr>
          </w:p>
        </w:tc>
        <w:tc>
          <w:tcPr>
            <w:tcW w:w="637" w:type="dxa"/>
            <w:vAlign w:val="center"/>
          </w:tcPr>
          <w:p>
            <w:pPr>
              <w:adjustRightInd w:val="0"/>
              <w:snapToGrid w:val="0"/>
              <w:jc w:val="center"/>
              <w:rPr>
                <w:rFonts w:ascii="仿宋_GB2312" w:hAnsi="仿宋_GB2312" w:eastAsia="仿宋_GB2312" w:cs="仿宋_GB2312"/>
                <w:color w:val="auto"/>
                <w:szCs w:val="21"/>
              </w:rPr>
            </w:pPr>
          </w:p>
        </w:tc>
        <w:tc>
          <w:tcPr>
            <w:tcW w:w="867" w:type="dxa"/>
            <w:vAlign w:val="center"/>
          </w:tcPr>
          <w:p>
            <w:pPr>
              <w:adjustRightInd w:val="0"/>
              <w:snapToGrid w:val="0"/>
              <w:jc w:val="center"/>
              <w:rPr>
                <w:rFonts w:ascii="仿宋_GB2312" w:hAnsi="仿宋_GB2312" w:eastAsia="仿宋_GB2312" w:cs="仿宋_GB2312"/>
                <w:color w:val="auto"/>
                <w:szCs w:val="21"/>
              </w:rPr>
            </w:pPr>
          </w:p>
        </w:tc>
        <w:tc>
          <w:tcPr>
            <w:tcW w:w="1690" w:type="dxa"/>
            <w:vAlign w:val="center"/>
          </w:tcPr>
          <w:p>
            <w:pPr>
              <w:adjustRightInd w:val="0"/>
              <w:snapToGrid w:val="0"/>
              <w:jc w:val="center"/>
              <w:rPr>
                <w:rFonts w:ascii="仿宋_GB2312" w:hAnsi="仿宋_GB2312" w:eastAsia="仿宋_GB2312" w:cs="仿宋_GB2312"/>
                <w:color w:val="auto"/>
                <w:szCs w:val="21"/>
              </w:rPr>
            </w:pPr>
          </w:p>
        </w:tc>
        <w:tc>
          <w:tcPr>
            <w:tcW w:w="1188" w:type="dxa"/>
            <w:vAlign w:val="center"/>
          </w:tcPr>
          <w:p>
            <w:pPr>
              <w:adjustRightInd w:val="0"/>
              <w:snapToGrid w:val="0"/>
              <w:jc w:val="center"/>
              <w:rPr>
                <w:rFonts w:ascii="仿宋_GB2312" w:hAnsi="仿宋_GB2312" w:eastAsia="仿宋_GB2312" w:cs="仿宋_GB2312"/>
                <w:color w:val="auto"/>
                <w:szCs w:val="21"/>
              </w:rPr>
            </w:pPr>
          </w:p>
        </w:tc>
      </w:tr>
    </w:tbl>
    <w:p>
      <w:pPr>
        <w:adjustRightInd w:val="0"/>
        <w:snapToGrid w:val="0"/>
        <w:spacing w:line="360" w:lineRule="auto"/>
        <w:ind w:right="105" w:rightChars="50"/>
        <w:jc w:val="left"/>
        <w:rPr>
          <w:rFonts w:ascii="仿宋_GB2312" w:hAnsi="仿宋_GB2312" w:eastAsia="仿宋_GB2312" w:cs="仿宋_GB2312"/>
          <w:color w:val="auto"/>
          <w:szCs w:val="21"/>
        </w:rPr>
      </w:pPr>
    </w:p>
    <w:p>
      <w:pPr>
        <w:adjustRightInd w:val="0"/>
        <w:snapToGrid w:val="0"/>
        <w:spacing w:line="360" w:lineRule="auto"/>
        <w:ind w:right="105" w:rightChars="50" w:firstLine="420" w:firstLineChars="20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注：此表中，总价应与报价一览表的响应总价相一致。</w:t>
      </w:r>
    </w:p>
    <w:p>
      <w:pPr>
        <w:adjustRightInd w:val="0"/>
        <w:snapToGrid w:val="0"/>
        <w:spacing w:line="360" w:lineRule="auto"/>
        <w:ind w:right="105" w:rightChars="50" w:firstLine="420" w:firstLineChars="200"/>
        <w:jc w:val="left"/>
        <w:rPr>
          <w:rFonts w:ascii="仿宋_GB2312" w:hAnsi="仿宋_GB2312" w:eastAsia="仿宋_GB2312" w:cs="仿宋_GB2312"/>
          <w:color w:val="auto"/>
          <w:szCs w:val="21"/>
        </w:rPr>
      </w:pPr>
    </w:p>
    <w:p>
      <w:pPr>
        <w:adjustRightInd w:val="0"/>
        <w:snapToGrid w:val="0"/>
        <w:spacing w:line="360" w:lineRule="auto"/>
        <w:ind w:right="105" w:rightChars="50"/>
        <w:jc w:val="left"/>
        <w:rPr>
          <w:rFonts w:ascii="仿宋_GB2312" w:hAnsi="仿宋_GB2312" w:eastAsia="仿宋_GB2312" w:cs="仿宋_GB2312"/>
          <w:color w:val="auto"/>
          <w:szCs w:val="21"/>
        </w:rPr>
      </w:pPr>
    </w:p>
    <w:p>
      <w:pPr>
        <w:adjustRightInd w:val="0"/>
        <w:snapToGrid w:val="0"/>
        <w:spacing w:line="360" w:lineRule="auto"/>
        <w:ind w:right="105" w:rightChars="50"/>
        <w:jc w:val="left"/>
        <w:rPr>
          <w:rFonts w:ascii="仿宋_GB2312" w:hAnsi="仿宋_GB2312" w:eastAsia="仿宋_GB2312" w:cs="仿宋_GB2312"/>
          <w:color w:val="auto"/>
          <w:szCs w:val="21"/>
        </w:rPr>
      </w:pPr>
    </w:p>
    <w:p>
      <w:pPr>
        <w:adjustRightInd w:val="0"/>
        <w:snapToGrid w:val="0"/>
        <w:spacing w:line="360" w:lineRule="auto"/>
        <w:ind w:right="105" w:rightChars="50"/>
        <w:jc w:val="left"/>
        <w:rPr>
          <w:rFonts w:ascii="仿宋_GB2312" w:hAnsi="仿宋_GB2312" w:eastAsia="仿宋_GB2312" w:cs="仿宋_GB2312"/>
          <w:color w:val="auto"/>
          <w:szCs w:val="21"/>
        </w:rPr>
      </w:pPr>
    </w:p>
    <w:p>
      <w:pPr>
        <w:adjustRightInd w:val="0"/>
        <w:snapToGrid w:val="0"/>
        <w:spacing w:line="360" w:lineRule="auto"/>
        <w:ind w:right="105" w:rightChars="50"/>
        <w:jc w:val="left"/>
        <w:rPr>
          <w:rFonts w:ascii="仿宋_GB2312" w:hAnsi="仿宋_GB2312" w:eastAsia="仿宋_GB2312" w:cs="仿宋_GB2312"/>
          <w:color w:val="auto"/>
          <w:szCs w:val="21"/>
        </w:rPr>
      </w:pPr>
    </w:p>
    <w:p>
      <w:pPr>
        <w:adjustRightInd w:val="0"/>
        <w:snapToGrid w:val="0"/>
        <w:spacing w:line="360" w:lineRule="auto"/>
        <w:ind w:right="105" w:rightChars="50"/>
        <w:jc w:val="left"/>
        <w:rPr>
          <w:rFonts w:ascii="仿宋_GB2312" w:hAnsi="仿宋_GB2312" w:eastAsia="仿宋_GB2312" w:cs="仿宋_GB2312"/>
          <w:color w:val="auto"/>
          <w:szCs w:val="21"/>
        </w:rPr>
      </w:pPr>
    </w:p>
    <w:p>
      <w:pPr>
        <w:adjustRightInd w:val="0"/>
        <w:snapToGrid w:val="0"/>
        <w:spacing w:line="480" w:lineRule="auto"/>
        <w:ind w:right="105" w:rightChars="50"/>
        <w:jc w:val="left"/>
        <w:rPr>
          <w:rFonts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投标人(加盖单位公章):</w:t>
      </w:r>
      <w:r>
        <w:rPr>
          <w:rFonts w:hint="eastAsia" w:ascii="仿宋_GB2312" w:hAnsi="仿宋_GB2312" w:eastAsia="仿宋_GB2312" w:cs="仿宋_GB2312"/>
          <w:color w:val="auto"/>
          <w:szCs w:val="21"/>
          <w:u w:val="single"/>
        </w:rPr>
        <w:t xml:space="preserve">               </w:t>
      </w:r>
    </w:p>
    <w:p>
      <w:pPr>
        <w:adjustRightInd w:val="0"/>
        <w:snapToGrid w:val="0"/>
        <w:spacing w:line="480" w:lineRule="auto"/>
        <w:ind w:right="105" w:rightChars="50"/>
        <w:jc w:val="left"/>
        <w:rPr>
          <w:rFonts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法定代表人或其授权委托人</w:t>
      </w:r>
      <w:r>
        <w:rPr>
          <w:rFonts w:hint="eastAsia" w:ascii="仿宋_GB2312" w:hAnsi="仿宋_GB2312" w:eastAsia="仿宋_GB2312" w:cs="仿宋_GB2312"/>
          <w:color w:val="auto"/>
        </w:rPr>
        <w:t xml:space="preserve"> (签字或盖章)</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u w:val="single"/>
        </w:rPr>
        <w:t xml:space="preserve">             </w:t>
      </w:r>
    </w:p>
    <w:p>
      <w:pPr>
        <w:adjustRightInd w:val="0"/>
        <w:snapToGrid w:val="0"/>
        <w:spacing w:line="480" w:lineRule="auto"/>
        <w:ind w:right="105" w:rightChars="50"/>
        <w:jc w:val="left"/>
        <w:rPr>
          <w:rFonts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 xml:space="preserve">日     期: </w:t>
      </w:r>
      <w:r>
        <w:rPr>
          <w:rFonts w:hint="eastAsia" w:ascii="仿宋_GB2312" w:hAnsi="仿宋_GB2312" w:eastAsia="仿宋_GB2312" w:cs="仿宋_GB2312"/>
          <w:color w:val="auto"/>
          <w:szCs w:val="21"/>
          <w:u w:val="single"/>
        </w:rPr>
        <w:t xml:space="preserve">               </w:t>
      </w:r>
    </w:p>
    <w:p>
      <w:pPr>
        <w:adjustRightInd w:val="0"/>
        <w:snapToGrid w:val="0"/>
        <w:spacing w:line="480" w:lineRule="auto"/>
        <w:ind w:right="105" w:rightChars="5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w:t>
      </w:r>
    </w:p>
    <w:p>
      <w:pPr>
        <w:adjustRightInd w:val="0"/>
        <w:snapToGrid w:val="0"/>
        <w:spacing w:line="480" w:lineRule="auto"/>
        <w:ind w:right="105" w:rightChars="50"/>
        <w:jc w:val="left"/>
        <w:rPr>
          <w:rFonts w:ascii="仿宋_GB2312" w:hAnsi="仿宋_GB2312" w:eastAsia="仿宋_GB2312" w:cs="仿宋_GB2312"/>
          <w:color w:val="auto"/>
          <w:szCs w:val="21"/>
        </w:rPr>
      </w:pPr>
    </w:p>
    <w:p>
      <w:pPr>
        <w:adjustRightInd w:val="0"/>
        <w:snapToGrid w:val="0"/>
        <w:spacing w:line="480" w:lineRule="auto"/>
        <w:ind w:right="105" w:rightChars="50"/>
        <w:jc w:val="left"/>
        <w:rPr>
          <w:rFonts w:ascii="仿宋_GB2312" w:hAnsi="仿宋_GB2312" w:eastAsia="仿宋_GB2312" w:cs="仿宋_GB2312"/>
          <w:color w:val="auto"/>
          <w:szCs w:val="21"/>
        </w:rPr>
      </w:pPr>
    </w:p>
    <w:p>
      <w:pPr>
        <w:adjustRightInd w:val="0"/>
        <w:snapToGrid w:val="0"/>
        <w:spacing w:line="480" w:lineRule="auto"/>
        <w:ind w:right="105" w:rightChars="50"/>
        <w:jc w:val="left"/>
        <w:rPr>
          <w:rFonts w:ascii="仿宋_GB2312" w:hAnsi="仿宋_GB2312" w:eastAsia="仿宋_GB2312" w:cs="仿宋_GB2312"/>
          <w:color w:val="auto"/>
          <w:szCs w:val="21"/>
        </w:rPr>
      </w:pPr>
    </w:p>
    <w:p>
      <w:pPr>
        <w:adjustRightInd w:val="0"/>
        <w:snapToGrid w:val="0"/>
        <w:spacing w:line="480" w:lineRule="auto"/>
        <w:ind w:right="105" w:rightChars="50"/>
        <w:jc w:val="left"/>
        <w:rPr>
          <w:rFonts w:ascii="仿宋_GB2312" w:hAnsi="仿宋_GB2312" w:eastAsia="仿宋_GB2312" w:cs="仿宋_GB2312"/>
          <w:color w:val="auto"/>
          <w:szCs w:val="21"/>
        </w:rPr>
      </w:pPr>
    </w:p>
    <w:p>
      <w:pPr>
        <w:pStyle w:val="3"/>
        <w:adjustRightInd w:val="0"/>
        <w:snapToGrid w:val="0"/>
        <w:spacing w:before="0" w:after="0" w:line="360" w:lineRule="auto"/>
        <w:jc w:val="left"/>
        <w:rPr>
          <w:rFonts w:ascii="仿宋_GB2312" w:hAnsi="仿宋_GB2312" w:eastAsia="仿宋_GB2312" w:cs="仿宋_GB2312"/>
          <w:color w:val="auto"/>
          <w:sz w:val="28"/>
          <w:szCs w:val="28"/>
        </w:rPr>
      </w:pPr>
    </w:p>
    <w:p>
      <w:pPr>
        <w:spacing w:before="319" w:beforeLines="100" w:after="319" w:afterLines="100" w:line="360" w:lineRule="auto"/>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法定代表人身份证明书</w:t>
      </w:r>
    </w:p>
    <w:p>
      <w:pPr>
        <w:spacing w:line="360" w:lineRule="auto"/>
        <w:ind w:firstLine="840" w:firstLineChars="4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姓名：</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，性别：</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，出生日期：</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，现任职务：</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，系</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（投标人名称）的法定代表人。</w:t>
      </w:r>
    </w:p>
    <w:p>
      <w:pP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w:t>
      </w:r>
    </w:p>
    <w:p>
      <w:pP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特此证明。</w:t>
      </w:r>
    </w:p>
    <w:p>
      <w:pPr>
        <w:rPr>
          <w:rFonts w:ascii="仿宋_GB2312" w:hAnsi="仿宋_GB2312" w:eastAsia="仿宋_GB2312" w:cs="仿宋_GB2312"/>
          <w:color w:val="auto"/>
          <w:szCs w:val="21"/>
        </w:rPr>
      </w:pPr>
    </w:p>
    <w:p>
      <w:pPr>
        <w:rPr>
          <w:rFonts w:ascii="仿宋_GB2312" w:hAnsi="仿宋_GB2312" w:eastAsia="仿宋_GB2312" w:cs="仿宋_GB2312"/>
          <w:color w:val="auto"/>
          <w:szCs w:val="21"/>
        </w:rPr>
      </w:pPr>
    </w:p>
    <w:p>
      <w:pPr>
        <w:rPr>
          <w:rFonts w:ascii="仿宋_GB2312" w:hAnsi="仿宋_GB2312" w:eastAsia="仿宋_GB2312" w:cs="仿宋_GB2312"/>
          <w:color w:val="auto"/>
          <w:szCs w:val="21"/>
        </w:rPr>
      </w:pPr>
    </w:p>
    <w:p>
      <w:pPr>
        <w:rPr>
          <w:rFonts w:ascii="仿宋_GB2312" w:hAnsi="仿宋_GB2312" w:eastAsia="仿宋_GB2312" w:cs="仿宋_GB2312"/>
          <w:color w:val="auto"/>
          <w:szCs w:val="21"/>
        </w:rPr>
      </w:pPr>
    </w:p>
    <w:tbl>
      <w:tblPr>
        <w:tblStyle w:val="19"/>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（※法定代表人身份证正、反面复印件※）</w:t>
            </w:r>
          </w:p>
        </w:tc>
      </w:tr>
    </w:tbl>
    <w:p>
      <w:pP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注：身份证复印件如为粘贴的，须在身份证复印件与本页接缝处加盖公章。</w:t>
      </w:r>
    </w:p>
    <w:p>
      <w:pPr>
        <w:rPr>
          <w:rFonts w:ascii="仿宋_GB2312" w:hAnsi="仿宋_GB2312" w:eastAsia="仿宋_GB2312" w:cs="仿宋_GB2312"/>
          <w:color w:val="auto"/>
          <w:szCs w:val="21"/>
        </w:rPr>
      </w:pPr>
    </w:p>
    <w:p>
      <w:pPr>
        <w:rPr>
          <w:rFonts w:ascii="仿宋_GB2312" w:hAnsi="仿宋_GB2312" w:eastAsia="仿宋_GB2312" w:cs="仿宋_GB2312"/>
          <w:color w:val="auto"/>
          <w:szCs w:val="21"/>
        </w:rPr>
      </w:pPr>
    </w:p>
    <w:p>
      <w:pPr>
        <w:rPr>
          <w:rFonts w:ascii="仿宋_GB2312" w:hAnsi="仿宋_GB2312" w:eastAsia="仿宋_GB2312" w:cs="仿宋_GB2312"/>
          <w:color w:val="auto"/>
          <w:szCs w:val="21"/>
        </w:rPr>
      </w:pPr>
    </w:p>
    <w:p>
      <w:pPr>
        <w:rPr>
          <w:rFonts w:ascii="仿宋_GB2312" w:hAnsi="仿宋_GB2312" w:eastAsia="仿宋_GB2312" w:cs="仿宋_GB2312"/>
          <w:color w:val="auto"/>
          <w:szCs w:val="21"/>
        </w:rPr>
      </w:pPr>
    </w:p>
    <w:p>
      <w:pPr>
        <w:rPr>
          <w:rFonts w:ascii="仿宋_GB2312" w:hAnsi="仿宋_GB2312" w:eastAsia="仿宋_GB2312" w:cs="仿宋_GB2312"/>
          <w:color w:val="auto"/>
          <w:szCs w:val="21"/>
        </w:rPr>
      </w:pPr>
    </w:p>
    <w:p>
      <w:pPr>
        <w:rPr>
          <w:rFonts w:ascii="仿宋_GB2312" w:hAnsi="仿宋_GB2312" w:eastAsia="仿宋_GB2312" w:cs="仿宋_GB2312"/>
          <w:color w:val="auto"/>
          <w:szCs w:val="21"/>
        </w:rPr>
      </w:pPr>
    </w:p>
    <w:p>
      <w:pPr>
        <w:rPr>
          <w:rFonts w:ascii="仿宋_GB2312" w:hAnsi="仿宋_GB2312" w:eastAsia="仿宋_GB2312" w:cs="仿宋_GB2312"/>
          <w:color w:val="auto"/>
          <w:szCs w:val="21"/>
        </w:rPr>
      </w:pPr>
    </w:p>
    <w:p>
      <w:pPr>
        <w:spacing w:line="480" w:lineRule="auto"/>
        <w:rPr>
          <w:rFonts w:ascii="仿宋_GB2312" w:hAnsi="仿宋_GB2312" w:eastAsia="仿宋_GB2312" w:cs="仿宋_GB2312"/>
          <w:color w:val="auto"/>
        </w:rPr>
      </w:pPr>
      <w:r>
        <w:rPr>
          <w:rFonts w:hint="eastAsia" w:ascii="仿宋_GB2312" w:hAnsi="仿宋_GB2312" w:eastAsia="仿宋_GB2312" w:cs="仿宋_GB2312"/>
          <w:color w:val="auto"/>
        </w:rPr>
        <w:t>投标人名称（加盖单位公章）：</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 xml:space="preserve">        </w:t>
      </w:r>
    </w:p>
    <w:p>
      <w:pPr>
        <w:spacing w:line="480" w:lineRule="auto"/>
        <w:rPr>
          <w:rFonts w:ascii="仿宋_GB2312" w:hAnsi="仿宋_GB2312" w:eastAsia="仿宋_GB2312" w:cs="仿宋_GB2312"/>
          <w:color w:val="auto"/>
        </w:rPr>
      </w:pPr>
      <w:r>
        <w:rPr>
          <w:rFonts w:hint="eastAsia" w:ascii="仿宋_GB2312" w:hAnsi="仿宋_GB2312" w:eastAsia="仿宋_GB2312" w:cs="仿宋_GB2312"/>
          <w:color w:val="auto"/>
        </w:rPr>
        <w:t xml:space="preserve">日期： </w:t>
      </w:r>
      <w:r>
        <w:rPr>
          <w:rFonts w:hint="eastAsia" w:ascii="仿宋_GB2312" w:hAnsi="仿宋_GB2312" w:eastAsia="仿宋_GB2312" w:cs="仿宋_GB2312"/>
          <w:color w:val="auto"/>
          <w:u w:val="single"/>
        </w:rPr>
        <w:t xml:space="preserve">              </w:t>
      </w:r>
    </w:p>
    <w:p>
      <w:pPr>
        <w:rPr>
          <w:rFonts w:ascii="仿宋_GB2312" w:hAnsi="仿宋_GB2312" w:eastAsia="仿宋_GB2312" w:cs="仿宋_GB2312"/>
          <w:color w:val="auto"/>
          <w:szCs w:val="21"/>
        </w:rPr>
      </w:pPr>
    </w:p>
    <w:p>
      <w:pPr>
        <w:rPr>
          <w:rFonts w:ascii="仿宋_GB2312" w:hAnsi="仿宋_GB2312" w:eastAsia="仿宋_GB2312" w:cs="仿宋_GB2312"/>
          <w:color w:val="auto"/>
          <w:szCs w:val="21"/>
        </w:rPr>
      </w:pPr>
      <w:r>
        <w:rPr>
          <w:rFonts w:hint="eastAsia" w:ascii="仿宋_GB2312" w:hAnsi="仿宋_GB2312" w:eastAsia="仿宋_GB2312" w:cs="仿宋_GB2312"/>
          <w:color w:val="auto"/>
          <w:szCs w:val="21"/>
        </w:rPr>
        <w:br w:type="page"/>
      </w:r>
    </w:p>
    <w:p>
      <w:pPr>
        <w:pStyle w:val="3"/>
        <w:adjustRightInd w:val="0"/>
        <w:snapToGrid w:val="0"/>
        <w:spacing w:before="0" w:after="0" w:line="240" w:lineRule="auto"/>
        <w:jc w:val="left"/>
        <w:rPr>
          <w:rFonts w:ascii="仿宋_GB2312" w:hAnsi="仿宋_GB2312" w:eastAsia="仿宋_GB2312" w:cs="仿宋_GB2312"/>
          <w:color w:val="auto"/>
          <w:sz w:val="28"/>
          <w:szCs w:val="28"/>
        </w:rPr>
      </w:pPr>
    </w:p>
    <w:p>
      <w:pPr>
        <w:spacing w:before="319" w:beforeLines="100" w:after="319" w:afterLines="100" w:line="360" w:lineRule="auto"/>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法定代表人授权委托书</w:t>
      </w:r>
    </w:p>
    <w:p>
      <w:pPr>
        <w:spacing w:line="360" w:lineRule="auto"/>
        <w:ind w:firstLine="420" w:firstLineChars="200"/>
        <w:rPr>
          <w:rFonts w:ascii="仿宋_GB2312" w:hAnsi="仿宋_GB2312" w:eastAsia="仿宋_GB2312" w:cs="仿宋_GB2312"/>
          <w:color w:val="auto"/>
          <w:szCs w:val="21"/>
          <w:u w:val="single"/>
        </w:rPr>
      </w:pPr>
    </w:p>
    <w:p>
      <w:pPr>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本人</w:t>
      </w:r>
      <w:r>
        <w:rPr>
          <w:rFonts w:hint="eastAsia" w:ascii="仿宋_GB2312" w:hAnsi="仿宋_GB2312" w:eastAsia="仿宋_GB2312" w:cs="仿宋_GB2312"/>
          <w:color w:val="auto"/>
          <w:szCs w:val="21"/>
          <w:u w:val="single"/>
        </w:rPr>
        <w:t xml:space="preserve">       （姓名）</w:t>
      </w:r>
      <w:r>
        <w:rPr>
          <w:rFonts w:hint="eastAsia" w:ascii="仿宋_GB2312" w:hAnsi="仿宋_GB2312" w:eastAsia="仿宋_GB2312" w:cs="仿宋_GB2312"/>
          <w:color w:val="auto"/>
          <w:szCs w:val="21"/>
        </w:rPr>
        <w:t xml:space="preserve">是 </w:t>
      </w:r>
      <w:r>
        <w:rPr>
          <w:rFonts w:hint="eastAsia" w:ascii="仿宋_GB2312" w:hAnsi="仿宋_GB2312" w:eastAsia="仿宋_GB2312" w:cs="仿宋_GB2312"/>
          <w:color w:val="auto"/>
          <w:szCs w:val="21"/>
          <w:u w:val="single"/>
        </w:rPr>
        <w:t xml:space="preserve">           （投标人名称）</w:t>
      </w:r>
      <w:r>
        <w:rPr>
          <w:rFonts w:hint="eastAsia" w:ascii="仿宋_GB2312" w:hAnsi="仿宋_GB2312" w:eastAsia="仿宋_GB2312" w:cs="仿宋_GB2312"/>
          <w:color w:val="auto"/>
          <w:szCs w:val="21"/>
        </w:rPr>
        <w:t>的法定代表人。现委托</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 xml:space="preserve">（姓名）为我方代理人。代理人根据授权，以我方名义签署、澄清确认、递交、撤回、修改 </w:t>
      </w:r>
      <w:r>
        <w:rPr>
          <w:rFonts w:hint="eastAsia" w:ascii="仿宋_GB2312" w:hAnsi="仿宋_GB2312" w:eastAsia="仿宋_GB2312" w:cs="仿宋_GB2312"/>
          <w:color w:val="auto"/>
          <w:szCs w:val="21"/>
          <w:u w:val="single"/>
        </w:rPr>
        <w:t xml:space="preserve">       （项目名称、包号）</w:t>
      </w:r>
      <w:r>
        <w:rPr>
          <w:rFonts w:hint="eastAsia" w:ascii="仿宋_GB2312" w:hAnsi="仿宋_GB2312" w:eastAsia="仿宋_GB2312" w:cs="仿宋_GB2312"/>
          <w:color w:val="auto"/>
          <w:szCs w:val="21"/>
        </w:rPr>
        <w:t>投标文件、签订合同和处理有关事宜，其法律后果由我方承担。</w:t>
      </w:r>
    </w:p>
    <w:p>
      <w:pPr>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委托期限：自本委托书签署之日起至投标有效期期满。</w:t>
      </w:r>
    </w:p>
    <w:p>
      <w:pPr>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bCs/>
          <w:color w:val="auto"/>
          <w:szCs w:val="21"/>
        </w:rPr>
        <w:t>代理人无转委托权</w:t>
      </w:r>
      <w:r>
        <w:rPr>
          <w:rFonts w:hint="eastAsia" w:ascii="仿宋_GB2312" w:hAnsi="仿宋_GB2312" w:eastAsia="仿宋_GB2312" w:cs="仿宋_GB2312"/>
          <w:color w:val="auto"/>
          <w:szCs w:val="21"/>
        </w:rPr>
        <w:t>。</w:t>
      </w:r>
    </w:p>
    <w:p>
      <w:pPr>
        <w:spacing w:line="360" w:lineRule="auto"/>
        <w:rPr>
          <w:rFonts w:ascii="仿宋_GB2312" w:hAnsi="仿宋_GB2312" w:eastAsia="仿宋_GB2312" w:cs="仿宋_GB2312"/>
          <w:color w:val="auto"/>
          <w:szCs w:val="21"/>
        </w:rPr>
      </w:pPr>
    </w:p>
    <w:tbl>
      <w:tblPr>
        <w:tblStyle w:val="19"/>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rPr>
              <w:t>授权委托人</w:t>
            </w:r>
            <w:r>
              <w:rPr>
                <w:rFonts w:hint="eastAsia" w:ascii="仿宋_GB2312" w:hAnsi="仿宋_GB2312" w:eastAsia="仿宋_GB2312" w:cs="仿宋_GB2312"/>
                <w:color w:val="auto"/>
                <w:szCs w:val="21"/>
              </w:rPr>
              <w:t>身份证正、反面复印件※）</w:t>
            </w:r>
          </w:p>
        </w:tc>
      </w:tr>
    </w:tbl>
    <w:p>
      <w:pP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注：身份证复印件如为粘贴的，须在身份证复印件与本页接缝处加盖公章。</w:t>
      </w:r>
    </w:p>
    <w:p>
      <w:pPr>
        <w:spacing w:line="360" w:lineRule="auto"/>
        <w:rPr>
          <w:rFonts w:ascii="仿宋_GB2312" w:hAnsi="仿宋_GB2312" w:eastAsia="仿宋_GB2312" w:cs="仿宋_GB2312"/>
          <w:color w:val="auto"/>
          <w:szCs w:val="21"/>
        </w:rPr>
      </w:pPr>
    </w:p>
    <w:p>
      <w:pPr>
        <w:spacing w:line="360" w:lineRule="auto"/>
        <w:rPr>
          <w:rFonts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投标人（加盖单位公章）：</w:t>
      </w:r>
      <w:r>
        <w:rPr>
          <w:rFonts w:hint="eastAsia" w:ascii="仿宋_GB2312" w:hAnsi="仿宋_GB2312" w:eastAsia="仿宋_GB2312" w:cs="仿宋_GB2312"/>
          <w:color w:val="auto"/>
          <w:szCs w:val="21"/>
          <w:u w:val="single"/>
        </w:rPr>
        <w:t xml:space="preserve">              </w:t>
      </w:r>
    </w:p>
    <w:p>
      <w:pPr>
        <w:spacing w:line="360" w:lineRule="auto"/>
        <w:rPr>
          <w:rFonts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法定代表人（签字）：</w:t>
      </w:r>
      <w:r>
        <w:rPr>
          <w:rFonts w:hint="eastAsia" w:ascii="仿宋_GB2312" w:hAnsi="仿宋_GB2312" w:eastAsia="仿宋_GB2312" w:cs="仿宋_GB2312"/>
          <w:color w:val="auto"/>
          <w:szCs w:val="21"/>
          <w:u w:val="single"/>
        </w:rPr>
        <w:t xml:space="preserve">             </w:t>
      </w:r>
    </w:p>
    <w:p>
      <w:pPr>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rPr>
        <w:t>委托代理人</w:t>
      </w:r>
      <w:r>
        <w:rPr>
          <w:rFonts w:hint="eastAsia" w:ascii="仿宋_GB2312" w:hAnsi="仿宋_GB2312" w:eastAsia="仿宋_GB2312" w:cs="仿宋_GB2312"/>
          <w:color w:val="auto"/>
          <w:szCs w:val="21"/>
        </w:rPr>
        <w:t xml:space="preserve">（签字）： </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 xml:space="preserve"> </w:t>
      </w:r>
    </w:p>
    <w:p>
      <w:pPr>
        <w:pStyle w:val="24"/>
        <w:ind w:firstLine="0"/>
        <w:rPr>
          <w:rFonts w:ascii="仿宋_GB2312" w:hAnsi="仿宋_GB2312" w:eastAsia="仿宋_GB2312" w:cs="仿宋_GB2312"/>
          <w:color w:val="auto"/>
          <w:spacing w:val="0"/>
          <w:kern w:val="2"/>
          <w:sz w:val="21"/>
          <w:u w:val="single"/>
        </w:rPr>
      </w:pPr>
      <w:r>
        <w:rPr>
          <w:rFonts w:hint="eastAsia" w:ascii="仿宋_GB2312" w:hAnsi="仿宋_GB2312" w:eastAsia="仿宋_GB2312" w:cs="仿宋_GB2312"/>
          <w:color w:val="auto"/>
          <w:spacing w:val="0"/>
          <w:kern w:val="2"/>
          <w:sz w:val="21"/>
        </w:rPr>
        <w:t>身份证号码：</w:t>
      </w:r>
      <w:r>
        <w:rPr>
          <w:rFonts w:hint="eastAsia" w:ascii="仿宋_GB2312" w:hAnsi="仿宋_GB2312" w:eastAsia="仿宋_GB2312" w:cs="仿宋_GB2312"/>
          <w:color w:val="auto"/>
          <w:spacing w:val="0"/>
          <w:kern w:val="2"/>
          <w:sz w:val="21"/>
          <w:u w:val="single"/>
        </w:rPr>
        <w:t xml:space="preserve">                </w:t>
      </w:r>
    </w:p>
    <w:p>
      <w:pPr>
        <w:spacing w:line="360" w:lineRule="auto"/>
        <w:rPr>
          <w:rFonts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日        期:</w:t>
      </w:r>
      <w:r>
        <w:rPr>
          <w:rFonts w:hint="eastAsia" w:ascii="仿宋_GB2312" w:hAnsi="仿宋_GB2312" w:eastAsia="仿宋_GB2312" w:cs="仿宋_GB2312"/>
          <w:color w:val="auto"/>
          <w:szCs w:val="21"/>
          <w:u w:val="single"/>
        </w:rPr>
        <w:t xml:space="preserve">                      </w:t>
      </w:r>
    </w:p>
    <w:p>
      <w:pPr>
        <w:spacing w:line="360" w:lineRule="auto"/>
        <w:rPr>
          <w:rFonts w:ascii="仿宋_GB2312" w:hAnsi="仿宋_GB2312" w:eastAsia="仿宋_GB2312" w:cs="仿宋_GB2312"/>
          <w:color w:val="auto"/>
          <w:szCs w:val="21"/>
        </w:rPr>
      </w:pPr>
    </w:p>
    <w:p>
      <w:pPr>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注：</w:t>
      </w:r>
    </w:p>
    <w:p>
      <w:pPr>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1.以联合体形式响应的，本授权委托书由联合体牵头人的法定代表人按上述规定签署。</w:t>
      </w:r>
    </w:p>
    <w:p>
      <w:pPr>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2.如果由投标人的法定代表人签署投标文件，则不需要提交授权委托书。</w:t>
      </w:r>
      <w:r>
        <w:rPr>
          <w:rFonts w:hint="eastAsia" w:ascii="仿宋_GB2312" w:hAnsi="仿宋_GB2312" w:eastAsia="仿宋_GB2312" w:cs="仿宋_GB2312"/>
          <w:color w:val="auto"/>
          <w:szCs w:val="21"/>
        </w:rPr>
        <w:br w:type="page"/>
      </w:r>
    </w:p>
    <w:p>
      <w:pPr>
        <w:spacing w:before="319" w:beforeLines="100" w:after="319" w:afterLines="100" w:line="360" w:lineRule="auto"/>
        <w:ind w:right="-21" w:rightChars="-10"/>
        <w:jc w:val="center"/>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具有良好的商业信誉和健全的财务会计制度的承诺函</w:t>
      </w:r>
    </w:p>
    <w:p>
      <w:pPr>
        <w:spacing w:before="319" w:beforeLines="100" w:after="319" w:afterLines="100" w:line="480" w:lineRule="exact"/>
        <w:ind w:right="630" w:rightChars="30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（格式自拟）</w:t>
      </w:r>
    </w:p>
    <w:p>
      <w:pPr>
        <w:rPr>
          <w:rFonts w:ascii="仿宋_GB2312" w:hAnsi="仿宋_GB2312" w:eastAsia="仿宋_GB2312" w:cs="仿宋_GB2312"/>
          <w:b/>
          <w:bCs/>
          <w:color w:val="auto"/>
          <w:szCs w:val="21"/>
        </w:rPr>
      </w:pPr>
    </w:p>
    <w:p>
      <w:pPr>
        <w:rPr>
          <w:rFonts w:ascii="仿宋_GB2312" w:hAnsi="仿宋_GB2312" w:eastAsia="仿宋_GB2312" w:cs="仿宋_GB2312"/>
          <w:b/>
          <w:bCs/>
          <w:color w:val="auto"/>
          <w:szCs w:val="21"/>
        </w:rPr>
      </w:pPr>
    </w:p>
    <w:p>
      <w:pPr>
        <w:rPr>
          <w:rFonts w:ascii="仿宋_GB2312" w:hAnsi="仿宋_GB2312" w:eastAsia="仿宋_GB2312" w:cs="仿宋_GB2312"/>
          <w:b/>
          <w:bCs/>
          <w:color w:val="auto"/>
          <w:szCs w:val="21"/>
        </w:rPr>
      </w:pPr>
    </w:p>
    <w:p>
      <w:pPr>
        <w:rPr>
          <w:rFonts w:ascii="仿宋_GB2312" w:hAnsi="仿宋_GB2312" w:eastAsia="仿宋_GB2312" w:cs="仿宋_GB2312"/>
          <w:b/>
          <w:bCs/>
          <w:color w:val="auto"/>
          <w:szCs w:val="21"/>
        </w:rPr>
      </w:pPr>
    </w:p>
    <w:p>
      <w:pPr>
        <w:rPr>
          <w:rFonts w:ascii="仿宋_GB2312" w:hAnsi="仿宋_GB2312" w:eastAsia="仿宋_GB2312" w:cs="仿宋_GB2312"/>
          <w:b/>
          <w:bCs/>
          <w:color w:val="auto"/>
          <w:szCs w:val="21"/>
        </w:rPr>
      </w:pPr>
    </w:p>
    <w:p>
      <w:pPr>
        <w:rPr>
          <w:rFonts w:ascii="仿宋_GB2312" w:hAnsi="仿宋_GB2312" w:eastAsia="仿宋_GB2312" w:cs="仿宋_GB2312"/>
          <w:b/>
          <w:bCs/>
          <w:color w:val="auto"/>
          <w:szCs w:val="21"/>
        </w:rPr>
      </w:pPr>
    </w:p>
    <w:p>
      <w:pPr>
        <w:rPr>
          <w:rFonts w:ascii="仿宋_GB2312" w:hAnsi="仿宋_GB2312" w:eastAsia="仿宋_GB2312" w:cs="仿宋_GB2312"/>
          <w:b/>
          <w:bCs/>
          <w:color w:val="auto"/>
          <w:szCs w:val="21"/>
        </w:rPr>
      </w:pPr>
    </w:p>
    <w:p>
      <w:pPr>
        <w:rPr>
          <w:rFonts w:ascii="仿宋_GB2312" w:hAnsi="仿宋_GB2312" w:eastAsia="仿宋_GB2312" w:cs="仿宋_GB2312"/>
          <w:b/>
          <w:bCs/>
          <w:color w:val="auto"/>
          <w:szCs w:val="21"/>
        </w:rPr>
      </w:pPr>
    </w:p>
    <w:p>
      <w:pPr>
        <w:rPr>
          <w:rFonts w:ascii="仿宋_GB2312" w:hAnsi="仿宋_GB2312" w:eastAsia="仿宋_GB2312" w:cs="仿宋_GB2312"/>
          <w:b/>
          <w:bCs/>
          <w:color w:val="auto"/>
          <w:szCs w:val="21"/>
        </w:rPr>
      </w:pPr>
    </w:p>
    <w:p>
      <w:pPr>
        <w:rPr>
          <w:rFonts w:ascii="仿宋_GB2312" w:hAnsi="仿宋_GB2312" w:eastAsia="仿宋_GB2312" w:cs="仿宋_GB2312"/>
          <w:b/>
          <w:bCs/>
          <w:color w:val="auto"/>
          <w:szCs w:val="21"/>
        </w:rPr>
      </w:pPr>
    </w:p>
    <w:p>
      <w:pPr>
        <w:rPr>
          <w:rFonts w:ascii="仿宋_GB2312" w:hAnsi="仿宋_GB2312" w:eastAsia="仿宋_GB2312" w:cs="仿宋_GB2312"/>
          <w:b/>
          <w:bCs/>
          <w:color w:val="auto"/>
          <w:szCs w:val="21"/>
        </w:rPr>
      </w:pPr>
    </w:p>
    <w:p>
      <w:pPr>
        <w:rPr>
          <w:rFonts w:ascii="仿宋_GB2312" w:hAnsi="仿宋_GB2312" w:eastAsia="仿宋_GB2312" w:cs="仿宋_GB2312"/>
          <w:b/>
          <w:bCs/>
          <w:color w:val="auto"/>
          <w:szCs w:val="21"/>
        </w:rPr>
      </w:pPr>
    </w:p>
    <w:p>
      <w:pPr>
        <w:rPr>
          <w:rFonts w:ascii="仿宋_GB2312" w:hAnsi="仿宋_GB2312" w:eastAsia="仿宋_GB2312" w:cs="仿宋_GB2312"/>
          <w:color w:val="auto"/>
          <w:szCs w:val="21"/>
        </w:rPr>
      </w:pPr>
      <w:r>
        <w:rPr>
          <w:rFonts w:hint="eastAsia" w:ascii="仿宋_GB2312" w:hAnsi="仿宋_GB2312" w:eastAsia="仿宋_GB2312" w:cs="仿宋_GB2312"/>
          <w:b/>
          <w:bCs/>
          <w:color w:val="auto"/>
          <w:szCs w:val="21"/>
        </w:rPr>
        <w:t>注：</w:t>
      </w:r>
      <w:r>
        <w:rPr>
          <w:rFonts w:hint="eastAsia" w:ascii="仿宋_GB2312" w:hAnsi="仿宋_GB2312" w:eastAsia="仿宋_GB2312" w:cs="仿宋_GB2312"/>
          <w:color w:val="auto"/>
          <w:szCs w:val="21"/>
        </w:rPr>
        <w:t>承诺函后须附附表《202X年财务状况表》及附件。</w:t>
      </w: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p>
    <w:p>
      <w:pPr>
        <w:snapToGrid w:val="0"/>
        <w:spacing w:line="480" w:lineRule="auto"/>
        <w:rPr>
          <w:rFonts w:ascii="仿宋_GB2312" w:hAnsi="仿宋_GB2312" w:eastAsia="仿宋_GB2312" w:cs="仿宋_GB2312"/>
          <w:color w:val="auto"/>
        </w:rPr>
      </w:pPr>
      <w:r>
        <w:rPr>
          <w:rFonts w:hint="eastAsia" w:ascii="仿宋_GB2312" w:hAnsi="仿宋_GB2312" w:eastAsia="仿宋_GB2312" w:cs="仿宋_GB2312"/>
          <w:color w:val="auto"/>
        </w:rPr>
        <w:t>投标人名称（加盖单位公章）：</w:t>
      </w:r>
      <w:r>
        <w:rPr>
          <w:rFonts w:hint="eastAsia" w:ascii="仿宋_GB2312" w:hAnsi="仿宋_GB2312" w:eastAsia="仿宋_GB2312" w:cs="仿宋_GB2312"/>
          <w:color w:val="auto"/>
          <w:u w:val="single"/>
        </w:rPr>
        <w:t xml:space="preserve">           </w:t>
      </w:r>
    </w:p>
    <w:p>
      <w:pPr>
        <w:snapToGrid w:val="0"/>
        <w:spacing w:line="480" w:lineRule="auto"/>
        <w:rPr>
          <w:rFonts w:ascii="仿宋_GB2312" w:hAnsi="仿宋_GB2312" w:eastAsia="仿宋_GB2312" w:cs="仿宋_GB2312"/>
          <w:color w:val="auto"/>
        </w:rPr>
      </w:pPr>
      <w:r>
        <w:rPr>
          <w:rFonts w:hint="eastAsia" w:ascii="仿宋_GB2312" w:hAnsi="仿宋_GB2312" w:eastAsia="仿宋_GB2312" w:cs="仿宋_GB2312"/>
          <w:color w:val="auto"/>
        </w:rPr>
        <w:t>法定代表人</w:t>
      </w:r>
      <w:r>
        <w:rPr>
          <w:rFonts w:hint="eastAsia" w:ascii="仿宋_GB2312" w:hAnsi="仿宋_GB2312" w:eastAsia="仿宋_GB2312" w:cs="仿宋_GB2312"/>
          <w:color w:val="auto"/>
          <w:szCs w:val="21"/>
        </w:rPr>
        <w:t>或</w:t>
      </w:r>
      <w:r>
        <w:rPr>
          <w:rFonts w:hint="eastAsia" w:ascii="仿宋_GB2312" w:hAnsi="仿宋_GB2312" w:eastAsia="仿宋_GB2312" w:cs="仿宋_GB2312"/>
          <w:color w:val="auto"/>
        </w:rPr>
        <w:t>其授权委托人(签字或盖章)：</w:t>
      </w:r>
      <w:r>
        <w:rPr>
          <w:rFonts w:hint="eastAsia" w:ascii="仿宋_GB2312" w:hAnsi="仿宋_GB2312" w:eastAsia="仿宋_GB2312" w:cs="仿宋_GB2312"/>
          <w:color w:val="auto"/>
          <w:u w:val="single"/>
        </w:rPr>
        <w:t xml:space="preserve">           </w:t>
      </w:r>
    </w:p>
    <w:p>
      <w:pPr>
        <w:adjustRightInd w:val="0"/>
        <w:snapToGrid w:val="0"/>
        <w:spacing w:line="360" w:lineRule="auto"/>
        <w:ind w:right="105" w:rightChars="50"/>
        <w:jc w:val="left"/>
        <w:rPr>
          <w:rFonts w:ascii="仿宋_GB2312" w:hAnsi="仿宋_GB2312" w:eastAsia="仿宋_GB2312" w:cs="仿宋_GB2312"/>
          <w:color w:val="auto"/>
          <w:u w:val="single"/>
        </w:rPr>
      </w:pPr>
      <w:r>
        <w:rPr>
          <w:rFonts w:hint="eastAsia" w:ascii="仿宋_GB2312" w:hAnsi="仿宋_GB2312" w:eastAsia="仿宋_GB2312" w:cs="仿宋_GB2312"/>
          <w:color w:val="auto"/>
        </w:rPr>
        <w:t>日期：</w:t>
      </w:r>
      <w:r>
        <w:rPr>
          <w:rFonts w:hint="eastAsia" w:ascii="仿宋_GB2312" w:hAnsi="仿宋_GB2312" w:eastAsia="仿宋_GB2312" w:cs="仿宋_GB2312"/>
          <w:color w:val="auto"/>
          <w:u w:val="single"/>
        </w:rPr>
        <w:t xml:space="preserve">                </w:t>
      </w:r>
    </w:p>
    <w:p>
      <w:pPr>
        <w:adjustRightInd w:val="0"/>
        <w:snapToGrid w:val="0"/>
        <w:spacing w:line="360" w:lineRule="auto"/>
        <w:ind w:right="105" w:rightChars="50"/>
        <w:jc w:val="left"/>
        <w:rPr>
          <w:rFonts w:ascii="仿宋_GB2312" w:hAnsi="仿宋_GB2312" w:eastAsia="仿宋_GB2312" w:cs="仿宋_GB2312"/>
          <w:color w:val="auto"/>
          <w:u w:val="single"/>
        </w:rPr>
      </w:pPr>
    </w:p>
    <w:p>
      <w:pPr>
        <w:rPr>
          <w:rFonts w:ascii="仿宋_GB2312" w:hAnsi="仿宋_GB2312" w:eastAsia="仿宋_GB2312" w:cs="仿宋_GB2312"/>
          <w:color w:val="auto"/>
          <w:sz w:val="28"/>
          <w:szCs w:val="28"/>
        </w:rPr>
      </w:pPr>
    </w:p>
    <w:p>
      <w:pPr>
        <w:rPr>
          <w:rFonts w:ascii="仿宋_GB2312" w:hAnsi="仿宋_GB2312" w:eastAsia="仿宋_GB2312" w:cs="仿宋_GB2312"/>
          <w:color w:val="auto"/>
          <w:sz w:val="28"/>
          <w:szCs w:val="28"/>
        </w:rPr>
      </w:pPr>
    </w:p>
    <w:p>
      <w:pPr>
        <w:rPr>
          <w:rFonts w:ascii="仿宋_GB2312" w:hAnsi="仿宋_GB2312" w:eastAsia="仿宋_GB2312" w:cs="仿宋_GB2312"/>
          <w:color w:val="auto"/>
          <w:sz w:val="28"/>
          <w:szCs w:val="28"/>
        </w:rPr>
      </w:pPr>
    </w:p>
    <w:p>
      <w:pPr>
        <w:rPr>
          <w:rFonts w:ascii="仿宋_GB2312" w:hAnsi="仿宋_GB2312" w:eastAsia="仿宋_GB2312" w:cs="仿宋_GB2312"/>
          <w:color w:val="auto"/>
          <w:sz w:val="28"/>
          <w:szCs w:val="28"/>
        </w:rPr>
      </w:pPr>
    </w:p>
    <w:p>
      <w:pPr>
        <w:rPr>
          <w:rFonts w:ascii="仿宋_GB2312" w:hAnsi="仿宋_GB2312" w:eastAsia="仿宋_GB2312" w:cs="仿宋_GB2312"/>
          <w:color w:val="auto"/>
          <w:sz w:val="28"/>
          <w:szCs w:val="28"/>
        </w:rPr>
      </w:pPr>
    </w:p>
    <w:p>
      <w:pPr>
        <w:rPr>
          <w:color w:val="auto"/>
        </w:rPr>
      </w:pPr>
    </w:p>
    <w:p>
      <w:pPr>
        <w:pStyle w:val="24"/>
        <w:rPr>
          <w:color w:val="auto"/>
        </w:rPr>
      </w:pPr>
    </w:p>
    <w:p>
      <w:pPr>
        <w:rPr>
          <w:rFonts w:ascii="仿宋_GB2312" w:hAnsi="仿宋_GB2312" w:eastAsia="仿宋_GB2312" w:cs="仿宋_GB2312"/>
          <w:color w:val="auto"/>
          <w:sz w:val="28"/>
          <w:szCs w:val="28"/>
        </w:rPr>
      </w:pPr>
    </w:p>
    <w:p>
      <w:pPr>
        <w:pStyle w:val="18"/>
        <w:ind w:firstLine="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附表：</w:t>
      </w:r>
    </w:p>
    <w:p>
      <w:pPr>
        <w:widowControl/>
        <w:autoSpaceDE w:val="0"/>
        <w:autoSpaceDN w:val="0"/>
        <w:spacing w:line="400" w:lineRule="atLeast"/>
        <w:ind w:left="180"/>
        <w:jc w:val="center"/>
        <w:textAlignment w:val="bottom"/>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202X年财务状况表</w:t>
      </w:r>
    </w:p>
    <w:p>
      <w:pPr>
        <w:spacing w:line="400" w:lineRule="atLeast"/>
        <w:jc w:val="center"/>
        <w:rPr>
          <w:rFonts w:ascii="仿宋_GB2312" w:hAnsi="仿宋_GB2312" w:eastAsia="仿宋_GB2312" w:cs="仿宋_GB2312"/>
          <w:color w:val="auto"/>
          <w:szCs w:val="21"/>
        </w:rPr>
      </w:pPr>
    </w:p>
    <w:tbl>
      <w:tblPr>
        <w:tblStyle w:val="19"/>
        <w:tblW w:w="0" w:type="auto"/>
        <w:tblInd w:w="0" w:type="dxa"/>
        <w:tblLayout w:type="fixed"/>
        <w:tblCellMar>
          <w:top w:w="0" w:type="dxa"/>
          <w:left w:w="28" w:type="dxa"/>
          <w:bottom w:w="0" w:type="dxa"/>
          <w:right w:w="28" w:type="dxa"/>
        </w:tblCellMar>
      </w:tblPr>
      <w:tblGrid>
        <w:gridCol w:w="4468"/>
        <w:gridCol w:w="1459"/>
        <w:gridCol w:w="1329"/>
      </w:tblGrid>
      <w:tr>
        <w:tblPrEx>
          <w:tblCellMar>
            <w:top w:w="0" w:type="dxa"/>
            <w:left w:w="28" w:type="dxa"/>
            <w:bottom w:w="0" w:type="dxa"/>
            <w:right w:w="28" w:type="dxa"/>
          </w:tblCellMar>
        </w:tblPrEx>
        <w:trPr>
          <w:cantSplit/>
          <w:trHeight w:val="454" w:hRule="atLeast"/>
        </w:trPr>
        <w:tc>
          <w:tcPr>
            <w:tcW w:w="44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left="113" w:firstLine="13"/>
              <w:jc w:val="center"/>
              <w:textAlignment w:val="bottom"/>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项目或指标</w:t>
            </w:r>
          </w:p>
        </w:tc>
        <w:tc>
          <w:tcPr>
            <w:tcW w:w="1459"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firstLine="13"/>
              <w:jc w:val="center"/>
              <w:textAlignment w:val="bottom"/>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单位</w:t>
            </w:r>
          </w:p>
        </w:tc>
        <w:tc>
          <w:tcPr>
            <w:tcW w:w="1329" w:type="dxa"/>
            <w:tcBorders>
              <w:top w:val="single" w:color="auto" w:sz="6" w:space="0"/>
              <w:left w:val="single" w:color="auto" w:sz="4" w:space="0"/>
              <w:bottom w:val="single" w:color="auto" w:sz="6" w:space="0"/>
              <w:right w:val="single" w:color="auto" w:sz="6" w:space="0"/>
            </w:tcBorders>
          </w:tcPr>
          <w:p>
            <w:pPr>
              <w:widowControl/>
              <w:autoSpaceDE w:val="0"/>
              <w:autoSpaceDN w:val="0"/>
              <w:spacing w:line="400" w:lineRule="atLeast"/>
              <w:ind w:firstLine="13"/>
              <w:jc w:val="center"/>
              <w:textAlignment w:val="bottom"/>
              <w:rPr>
                <w:rFonts w:ascii="仿宋_GB2312" w:hAnsi="仿宋_GB2312" w:eastAsia="仿宋_GB2312" w:cs="仿宋_GB2312"/>
                <w:color w:val="auto"/>
                <w:szCs w:val="21"/>
              </w:rPr>
            </w:pPr>
            <w:r>
              <w:rPr>
                <w:rFonts w:hint="eastAsia" w:ascii="仿宋_GB2312" w:hAnsi="仿宋_GB2312" w:eastAsia="仿宋_GB2312" w:cs="仿宋_GB2312"/>
                <w:color w:val="auto"/>
                <w:szCs w:val="21"/>
                <w:u w:val="single"/>
              </w:rPr>
              <w:t xml:space="preserve"> 202X </w:t>
            </w:r>
            <w:r>
              <w:rPr>
                <w:rFonts w:hint="eastAsia" w:ascii="仿宋_GB2312" w:hAnsi="仿宋_GB2312" w:eastAsia="仿宋_GB2312" w:cs="仿宋_GB2312"/>
                <w:color w:val="auto"/>
                <w:szCs w:val="21"/>
              </w:rPr>
              <w:t>年</w:t>
            </w:r>
          </w:p>
        </w:tc>
      </w:tr>
      <w:tr>
        <w:tblPrEx>
          <w:tblCellMar>
            <w:top w:w="0" w:type="dxa"/>
            <w:left w:w="28" w:type="dxa"/>
            <w:bottom w:w="0" w:type="dxa"/>
            <w:right w:w="28" w:type="dxa"/>
          </w:tblCellMar>
        </w:tblPrEx>
        <w:trPr>
          <w:cantSplit/>
          <w:trHeight w:val="454" w:hRule="atLeast"/>
        </w:trPr>
        <w:tc>
          <w:tcPr>
            <w:tcW w:w="44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left="113" w:firstLine="13"/>
              <w:textAlignment w:val="bottom"/>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一 、 注册资本</w:t>
            </w:r>
          </w:p>
        </w:tc>
        <w:tc>
          <w:tcPr>
            <w:tcW w:w="1459"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firstLine="13"/>
              <w:jc w:val="center"/>
              <w:textAlignment w:val="bottom"/>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万元</w:t>
            </w:r>
          </w:p>
        </w:tc>
        <w:tc>
          <w:tcPr>
            <w:tcW w:w="1329" w:type="dxa"/>
            <w:tcBorders>
              <w:top w:val="single" w:color="auto" w:sz="6" w:space="0"/>
              <w:left w:val="single" w:color="auto" w:sz="4" w:space="0"/>
              <w:bottom w:val="single" w:color="auto" w:sz="6" w:space="0"/>
              <w:right w:val="single" w:color="auto" w:sz="6" w:space="0"/>
            </w:tcBorders>
          </w:tcPr>
          <w:p>
            <w:pPr>
              <w:widowControl/>
              <w:autoSpaceDE w:val="0"/>
              <w:autoSpaceDN w:val="0"/>
              <w:spacing w:line="400" w:lineRule="atLeast"/>
              <w:ind w:firstLine="13"/>
              <w:jc w:val="right"/>
              <w:textAlignment w:val="bottom"/>
              <w:rPr>
                <w:rFonts w:ascii="仿宋_GB2312" w:hAnsi="仿宋_GB2312" w:eastAsia="仿宋_GB2312" w:cs="仿宋_GB2312"/>
                <w:color w:val="auto"/>
                <w:szCs w:val="21"/>
              </w:rPr>
            </w:pPr>
          </w:p>
        </w:tc>
      </w:tr>
      <w:tr>
        <w:tblPrEx>
          <w:tblCellMar>
            <w:top w:w="0" w:type="dxa"/>
            <w:left w:w="28" w:type="dxa"/>
            <w:bottom w:w="0" w:type="dxa"/>
            <w:right w:w="28" w:type="dxa"/>
          </w:tblCellMar>
        </w:tblPrEx>
        <w:trPr>
          <w:cantSplit/>
          <w:trHeight w:val="454" w:hRule="atLeast"/>
        </w:trPr>
        <w:tc>
          <w:tcPr>
            <w:tcW w:w="44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left="113" w:firstLine="13"/>
              <w:textAlignment w:val="bottom"/>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二、 净资产</w:t>
            </w:r>
          </w:p>
        </w:tc>
        <w:tc>
          <w:tcPr>
            <w:tcW w:w="1459"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firstLine="13"/>
              <w:jc w:val="center"/>
              <w:textAlignment w:val="bottom"/>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万元</w:t>
            </w:r>
          </w:p>
        </w:tc>
        <w:tc>
          <w:tcPr>
            <w:tcW w:w="1329" w:type="dxa"/>
            <w:tcBorders>
              <w:top w:val="single" w:color="auto" w:sz="6" w:space="0"/>
              <w:left w:val="single" w:color="auto" w:sz="4" w:space="0"/>
              <w:bottom w:val="single" w:color="auto" w:sz="6" w:space="0"/>
              <w:right w:val="single" w:color="auto" w:sz="6" w:space="0"/>
            </w:tcBorders>
          </w:tcPr>
          <w:p>
            <w:pPr>
              <w:widowControl/>
              <w:autoSpaceDE w:val="0"/>
              <w:autoSpaceDN w:val="0"/>
              <w:spacing w:line="400" w:lineRule="atLeast"/>
              <w:ind w:firstLine="13"/>
              <w:jc w:val="right"/>
              <w:textAlignment w:val="bottom"/>
              <w:rPr>
                <w:rFonts w:ascii="仿宋_GB2312" w:hAnsi="仿宋_GB2312" w:eastAsia="仿宋_GB2312" w:cs="仿宋_GB2312"/>
                <w:color w:val="auto"/>
                <w:szCs w:val="21"/>
              </w:rPr>
            </w:pPr>
          </w:p>
        </w:tc>
      </w:tr>
      <w:tr>
        <w:tblPrEx>
          <w:tblCellMar>
            <w:top w:w="0" w:type="dxa"/>
            <w:left w:w="28" w:type="dxa"/>
            <w:bottom w:w="0" w:type="dxa"/>
            <w:right w:w="28" w:type="dxa"/>
          </w:tblCellMar>
        </w:tblPrEx>
        <w:trPr>
          <w:cantSplit/>
          <w:trHeight w:val="454" w:hRule="atLeast"/>
        </w:trPr>
        <w:tc>
          <w:tcPr>
            <w:tcW w:w="44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left="113" w:firstLine="13"/>
              <w:textAlignment w:val="bottom"/>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三、 总资产</w:t>
            </w:r>
          </w:p>
        </w:tc>
        <w:tc>
          <w:tcPr>
            <w:tcW w:w="1459"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firstLine="13"/>
              <w:jc w:val="center"/>
              <w:textAlignment w:val="bottom"/>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万元</w:t>
            </w:r>
          </w:p>
        </w:tc>
        <w:tc>
          <w:tcPr>
            <w:tcW w:w="1329" w:type="dxa"/>
            <w:tcBorders>
              <w:top w:val="single" w:color="auto" w:sz="6" w:space="0"/>
              <w:left w:val="single" w:color="auto" w:sz="4" w:space="0"/>
              <w:bottom w:val="single" w:color="auto" w:sz="6" w:space="0"/>
              <w:right w:val="single" w:color="auto" w:sz="6" w:space="0"/>
            </w:tcBorders>
          </w:tcPr>
          <w:p>
            <w:pPr>
              <w:widowControl/>
              <w:autoSpaceDE w:val="0"/>
              <w:autoSpaceDN w:val="0"/>
              <w:spacing w:line="400" w:lineRule="atLeast"/>
              <w:ind w:firstLine="13"/>
              <w:jc w:val="right"/>
              <w:textAlignment w:val="bottom"/>
              <w:rPr>
                <w:rFonts w:ascii="仿宋_GB2312" w:hAnsi="仿宋_GB2312" w:eastAsia="仿宋_GB2312" w:cs="仿宋_GB2312"/>
                <w:color w:val="auto"/>
                <w:szCs w:val="21"/>
              </w:rPr>
            </w:pPr>
          </w:p>
        </w:tc>
      </w:tr>
      <w:tr>
        <w:tblPrEx>
          <w:tblCellMar>
            <w:top w:w="0" w:type="dxa"/>
            <w:left w:w="28" w:type="dxa"/>
            <w:bottom w:w="0" w:type="dxa"/>
            <w:right w:w="28" w:type="dxa"/>
          </w:tblCellMar>
        </w:tblPrEx>
        <w:trPr>
          <w:cantSplit/>
          <w:trHeight w:val="454" w:hRule="atLeast"/>
        </w:trPr>
        <w:tc>
          <w:tcPr>
            <w:tcW w:w="4468" w:type="dxa"/>
            <w:tcBorders>
              <w:top w:val="single" w:color="auto" w:sz="6" w:space="0"/>
              <w:left w:val="single" w:color="auto" w:sz="6" w:space="0"/>
              <w:bottom w:val="single" w:color="auto" w:sz="6" w:space="0"/>
              <w:right w:val="single" w:color="auto" w:sz="6" w:space="0"/>
            </w:tcBorders>
          </w:tcPr>
          <w:p>
            <w:pPr>
              <w:spacing w:line="400" w:lineRule="atLeast"/>
              <w:ind w:firstLine="13"/>
              <w:rPr>
                <w:rFonts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四、 固定资产</w:t>
            </w:r>
          </w:p>
        </w:tc>
        <w:tc>
          <w:tcPr>
            <w:tcW w:w="1459"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firstLine="13"/>
              <w:jc w:val="center"/>
              <w:textAlignment w:val="bottom"/>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万元</w:t>
            </w:r>
          </w:p>
        </w:tc>
        <w:tc>
          <w:tcPr>
            <w:tcW w:w="1329" w:type="dxa"/>
            <w:tcBorders>
              <w:top w:val="single" w:color="auto" w:sz="6" w:space="0"/>
              <w:left w:val="single" w:color="auto" w:sz="4" w:space="0"/>
              <w:bottom w:val="single" w:color="auto" w:sz="6" w:space="0"/>
              <w:right w:val="single" w:color="auto" w:sz="6" w:space="0"/>
            </w:tcBorders>
          </w:tcPr>
          <w:p>
            <w:pPr>
              <w:widowControl/>
              <w:autoSpaceDE w:val="0"/>
              <w:autoSpaceDN w:val="0"/>
              <w:spacing w:line="400" w:lineRule="atLeast"/>
              <w:ind w:firstLine="13"/>
              <w:jc w:val="right"/>
              <w:textAlignment w:val="bottom"/>
              <w:rPr>
                <w:rFonts w:ascii="仿宋_GB2312" w:hAnsi="仿宋_GB2312" w:eastAsia="仿宋_GB2312" w:cs="仿宋_GB2312"/>
                <w:color w:val="auto"/>
                <w:szCs w:val="21"/>
              </w:rPr>
            </w:pPr>
          </w:p>
        </w:tc>
      </w:tr>
      <w:tr>
        <w:tblPrEx>
          <w:tblCellMar>
            <w:top w:w="0" w:type="dxa"/>
            <w:left w:w="28" w:type="dxa"/>
            <w:bottom w:w="0" w:type="dxa"/>
            <w:right w:w="28" w:type="dxa"/>
          </w:tblCellMar>
        </w:tblPrEx>
        <w:trPr>
          <w:cantSplit/>
          <w:trHeight w:val="454" w:hRule="atLeast"/>
        </w:trPr>
        <w:tc>
          <w:tcPr>
            <w:tcW w:w="44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left="113" w:firstLine="13"/>
              <w:textAlignment w:val="bottom"/>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五、 流动资产</w:t>
            </w:r>
          </w:p>
        </w:tc>
        <w:tc>
          <w:tcPr>
            <w:tcW w:w="1459"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firstLine="13"/>
              <w:jc w:val="center"/>
              <w:textAlignment w:val="bottom"/>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万元</w:t>
            </w:r>
          </w:p>
        </w:tc>
        <w:tc>
          <w:tcPr>
            <w:tcW w:w="1329" w:type="dxa"/>
            <w:tcBorders>
              <w:top w:val="single" w:color="auto" w:sz="6" w:space="0"/>
              <w:left w:val="single" w:color="auto" w:sz="4" w:space="0"/>
              <w:bottom w:val="single" w:color="auto" w:sz="6" w:space="0"/>
              <w:right w:val="single" w:color="auto" w:sz="6" w:space="0"/>
            </w:tcBorders>
          </w:tcPr>
          <w:p>
            <w:pPr>
              <w:widowControl/>
              <w:autoSpaceDE w:val="0"/>
              <w:autoSpaceDN w:val="0"/>
              <w:spacing w:line="400" w:lineRule="atLeast"/>
              <w:ind w:firstLine="13"/>
              <w:jc w:val="right"/>
              <w:textAlignment w:val="bottom"/>
              <w:rPr>
                <w:rFonts w:ascii="仿宋_GB2312" w:hAnsi="仿宋_GB2312" w:eastAsia="仿宋_GB2312" w:cs="仿宋_GB2312"/>
                <w:color w:val="auto"/>
                <w:szCs w:val="21"/>
              </w:rPr>
            </w:pPr>
          </w:p>
        </w:tc>
      </w:tr>
      <w:tr>
        <w:tblPrEx>
          <w:tblCellMar>
            <w:top w:w="0" w:type="dxa"/>
            <w:left w:w="28" w:type="dxa"/>
            <w:bottom w:w="0" w:type="dxa"/>
            <w:right w:w="28" w:type="dxa"/>
          </w:tblCellMar>
        </w:tblPrEx>
        <w:trPr>
          <w:cantSplit/>
          <w:trHeight w:val="454" w:hRule="atLeast"/>
        </w:trPr>
        <w:tc>
          <w:tcPr>
            <w:tcW w:w="44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left="113" w:firstLine="13"/>
              <w:textAlignment w:val="bottom"/>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六、 流动负债</w:t>
            </w:r>
          </w:p>
        </w:tc>
        <w:tc>
          <w:tcPr>
            <w:tcW w:w="1459"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firstLine="13"/>
              <w:jc w:val="center"/>
              <w:textAlignment w:val="bottom"/>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万元</w:t>
            </w:r>
          </w:p>
        </w:tc>
        <w:tc>
          <w:tcPr>
            <w:tcW w:w="1329" w:type="dxa"/>
            <w:tcBorders>
              <w:top w:val="single" w:color="auto" w:sz="6" w:space="0"/>
              <w:left w:val="single" w:color="auto" w:sz="4" w:space="0"/>
              <w:bottom w:val="single" w:color="auto" w:sz="6" w:space="0"/>
              <w:right w:val="single" w:color="auto" w:sz="6" w:space="0"/>
            </w:tcBorders>
          </w:tcPr>
          <w:p>
            <w:pPr>
              <w:widowControl/>
              <w:autoSpaceDE w:val="0"/>
              <w:autoSpaceDN w:val="0"/>
              <w:spacing w:line="400" w:lineRule="atLeast"/>
              <w:ind w:firstLine="13"/>
              <w:jc w:val="right"/>
              <w:textAlignment w:val="bottom"/>
              <w:rPr>
                <w:rFonts w:ascii="仿宋_GB2312" w:hAnsi="仿宋_GB2312" w:eastAsia="仿宋_GB2312" w:cs="仿宋_GB2312"/>
                <w:color w:val="auto"/>
                <w:szCs w:val="21"/>
              </w:rPr>
            </w:pPr>
          </w:p>
        </w:tc>
      </w:tr>
      <w:tr>
        <w:tblPrEx>
          <w:tblCellMar>
            <w:top w:w="0" w:type="dxa"/>
            <w:left w:w="28" w:type="dxa"/>
            <w:bottom w:w="0" w:type="dxa"/>
            <w:right w:w="28" w:type="dxa"/>
          </w:tblCellMar>
        </w:tblPrEx>
        <w:trPr>
          <w:cantSplit/>
          <w:trHeight w:val="454" w:hRule="atLeast"/>
        </w:trPr>
        <w:tc>
          <w:tcPr>
            <w:tcW w:w="44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left="113" w:firstLine="13"/>
              <w:textAlignment w:val="bottom"/>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七、 负债合计</w:t>
            </w:r>
          </w:p>
        </w:tc>
        <w:tc>
          <w:tcPr>
            <w:tcW w:w="1459"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firstLine="13"/>
              <w:jc w:val="center"/>
              <w:textAlignment w:val="bottom"/>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万元</w:t>
            </w:r>
          </w:p>
        </w:tc>
        <w:tc>
          <w:tcPr>
            <w:tcW w:w="1329" w:type="dxa"/>
            <w:tcBorders>
              <w:top w:val="single" w:color="auto" w:sz="6" w:space="0"/>
              <w:left w:val="single" w:color="auto" w:sz="4" w:space="0"/>
              <w:bottom w:val="single" w:color="auto" w:sz="6" w:space="0"/>
              <w:right w:val="single" w:color="auto" w:sz="6" w:space="0"/>
            </w:tcBorders>
          </w:tcPr>
          <w:p>
            <w:pPr>
              <w:widowControl/>
              <w:autoSpaceDE w:val="0"/>
              <w:autoSpaceDN w:val="0"/>
              <w:spacing w:line="400" w:lineRule="atLeast"/>
              <w:ind w:firstLine="13"/>
              <w:jc w:val="right"/>
              <w:textAlignment w:val="bottom"/>
              <w:rPr>
                <w:rFonts w:ascii="仿宋_GB2312" w:hAnsi="仿宋_GB2312" w:eastAsia="仿宋_GB2312" w:cs="仿宋_GB2312"/>
                <w:color w:val="auto"/>
                <w:szCs w:val="21"/>
              </w:rPr>
            </w:pPr>
          </w:p>
        </w:tc>
      </w:tr>
      <w:tr>
        <w:tblPrEx>
          <w:tblCellMar>
            <w:top w:w="0" w:type="dxa"/>
            <w:left w:w="28" w:type="dxa"/>
            <w:bottom w:w="0" w:type="dxa"/>
            <w:right w:w="28" w:type="dxa"/>
          </w:tblCellMar>
        </w:tblPrEx>
        <w:trPr>
          <w:cantSplit/>
          <w:trHeight w:val="454" w:hRule="atLeast"/>
        </w:trPr>
        <w:tc>
          <w:tcPr>
            <w:tcW w:w="44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left="113" w:firstLine="13"/>
              <w:textAlignment w:val="bottom"/>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八、 营业收入</w:t>
            </w:r>
          </w:p>
        </w:tc>
        <w:tc>
          <w:tcPr>
            <w:tcW w:w="1459"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firstLine="13"/>
              <w:jc w:val="center"/>
              <w:textAlignment w:val="bottom"/>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万元</w:t>
            </w:r>
          </w:p>
        </w:tc>
        <w:tc>
          <w:tcPr>
            <w:tcW w:w="1329" w:type="dxa"/>
            <w:tcBorders>
              <w:top w:val="single" w:color="auto" w:sz="6" w:space="0"/>
              <w:left w:val="single" w:color="auto" w:sz="4" w:space="0"/>
              <w:bottom w:val="single" w:color="auto" w:sz="6" w:space="0"/>
              <w:right w:val="single" w:color="auto" w:sz="6" w:space="0"/>
            </w:tcBorders>
          </w:tcPr>
          <w:p>
            <w:pPr>
              <w:widowControl/>
              <w:autoSpaceDE w:val="0"/>
              <w:autoSpaceDN w:val="0"/>
              <w:spacing w:line="400" w:lineRule="atLeast"/>
              <w:ind w:firstLine="13"/>
              <w:jc w:val="right"/>
              <w:textAlignment w:val="bottom"/>
              <w:rPr>
                <w:rFonts w:ascii="仿宋_GB2312" w:hAnsi="仿宋_GB2312" w:eastAsia="仿宋_GB2312" w:cs="仿宋_GB2312"/>
                <w:color w:val="auto"/>
                <w:szCs w:val="21"/>
              </w:rPr>
            </w:pPr>
          </w:p>
        </w:tc>
      </w:tr>
      <w:tr>
        <w:tblPrEx>
          <w:tblCellMar>
            <w:top w:w="0" w:type="dxa"/>
            <w:left w:w="28" w:type="dxa"/>
            <w:bottom w:w="0" w:type="dxa"/>
            <w:right w:w="28" w:type="dxa"/>
          </w:tblCellMar>
        </w:tblPrEx>
        <w:trPr>
          <w:cantSplit/>
          <w:trHeight w:val="454" w:hRule="atLeast"/>
        </w:trPr>
        <w:tc>
          <w:tcPr>
            <w:tcW w:w="44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left="113" w:firstLine="13"/>
              <w:textAlignment w:val="bottom"/>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九、 净利润</w:t>
            </w:r>
          </w:p>
        </w:tc>
        <w:tc>
          <w:tcPr>
            <w:tcW w:w="1459"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firstLine="13"/>
              <w:jc w:val="center"/>
              <w:textAlignment w:val="bottom"/>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万元</w:t>
            </w:r>
          </w:p>
        </w:tc>
        <w:tc>
          <w:tcPr>
            <w:tcW w:w="1329" w:type="dxa"/>
            <w:tcBorders>
              <w:top w:val="single" w:color="auto" w:sz="6" w:space="0"/>
              <w:left w:val="single" w:color="auto" w:sz="4" w:space="0"/>
              <w:bottom w:val="single" w:color="auto" w:sz="6" w:space="0"/>
              <w:right w:val="single" w:color="auto" w:sz="6" w:space="0"/>
            </w:tcBorders>
          </w:tcPr>
          <w:p>
            <w:pPr>
              <w:widowControl/>
              <w:autoSpaceDE w:val="0"/>
              <w:autoSpaceDN w:val="0"/>
              <w:spacing w:line="400" w:lineRule="atLeast"/>
              <w:ind w:firstLine="13"/>
              <w:jc w:val="right"/>
              <w:textAlignment w:val="bottom"/>
              <w:rPr>
                <w:rFonts w:ascii="仿宋_GB2312" w:hAnsi="仿宋_GB2312" w:eastAsia="仿宋_GB2312" w:cs="仿宋_GB2312"/>
                <w:color w:val="auto"/>
                <w:szCs w:val="21"/>
              </w:rPr>
            </w:pPr>
          </w:p>
        </w:tc>
      </w:tr>
      <w:tr>
        <w:tblPrEx>
          <w:tblCellMar>
            <w:top w:w="0" w:type="dxa"/>
            <w:left w:w="28" w:type="dxa"/>
            <w:bottom w:w="0" w:type="dxa"/>
            <w:right w:w="28" w:type="dxa"/>
          </w:tblCellMar>
        </w:tblPrEx>
        <w:trPr>
          <w:cantSplit/>
          <w:trHeight w:val="454" w:hRule="atLeast"/>
        </w:trPr>
        <w:tc>
          <w:tcPr>
            <w:tcW w:w="44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left="113" w:firstLine="13"/>
              <w:textAlignment w:val="bottom"/>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十、 现金流量净额</w:t>
            </w:r>
          </w:p>
        </w:tc>
        <w:tc>
          <w:tcPr>
            <w:tcW w:w="1459"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firstLine="13"/>
              <w:jc w:val="center"/>
              <w:textAlignment w:val="bottom"/>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万元</w:t>
            </w:r>
          </w:p>
        </w:tc>
        <w:tc>
          <w:tcPr>
            <w:tcW w:w="1329" w:type="dxa"/>
            <w:tcBorders>
              <w:top w:val="single" w:color="auto" w:sz="6" w:space="0"/>
              <w:left w:val="single" w:color="auto" w:sz="4" w:space="0"/>
              <w:bottom w:val="single" w:color="auto" w:sz="6" w:space="0"/>
              <w:right w:val="single" w:color="auto" w:sz="6" w:space="0"/>
            </w:tcBorders>
          </w:tcPr>
          <w:p>
            <w:pPr>
              <w:widowControl/>
              <w:autoSpaceDE w:val="0"/>
              <w:autoSpaceDN w:val="0"/>
              <w:spacing w:line="400" w:lineRule="atLeast"/>
              <w:ind w:firstLine="13"/>
              <w:jc w:val="right"/>
              <w:textAlignment w:val="bottom"/>
              <w:rPr>
                <w:rFonts w:ascii="仿宋_GB2312" w:hAnsi="仿宋_GB2312" w:eastAsia="仿宋_GB2312" w:cs="仿宋_GB2312"/>
                <w:color w:val="auto"/>
                <w:szCs w:val="21"/>
              </w:rPr>
            </w:pPr>
          </w:p>
        </w:tc>
      </w:tr>
      <w:tr>
        <w:tblPrEx>
          <w:tblCellMar>
            <w:top w:w="0" w:type="dxa"/>
            <w:left w:w="28" w:type="dxa"/>
            <w:bottom w:w="0" w:type="dxa"/>
            <w:right w:w="28" w:type="dxa"/>
          </w:tblCellMar>
        </w:tblPrEx>
        <w:trPr>
          <w:cantSplit/>
          <w:trHeight w:val="454" w:hRule="atLeast"/>
        </w:trPr>
        <w:tc>
          <w:tcPr>
            <w:tcW w:w="44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left="840" w:hanging="714"/>
              <w:textAlignment w:val="bottom"/>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十一、 主要财务指标</w:t>
            </w:r>
          </w:p>
        </w:tc>
        <w:tc>
          <w:tcPr>
            <w:tcW w:w="1459"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firstLine="13"/>
              <w:jc w:val="center"/>
              <w:textAlignment w:val="bottom"/>
              <w:rPr>
                <w:rFonts w:ascii="仿宋_GB2312" w:hAnsi="仿宋_GB2312" w:eastAsia="仿宋_GB2312" w:cs="仿宋_GB2312"/>
                <w:color w:val="auto"/>
                <w:szCs w:val="21"/>
              </w:rPr>
            </w:pPr>
          </w:p>
        </w:tc>
        <w:tc>
          <w:tcPr>
            <w:tcW w:w="1329" w:type="dxa"/>
            <w:tcBorders>
              <w:top w:val="single" w:color="auto" w:sz="6" w:space="0"/>
              <w:left w:val="single" w:color="auto" w:sz="4" w:space="0"/>
              <w:bottom w:val="single" w:color="auto" w:sz="6" w:space="0"/>
              <w:right w:val="single" w:color="auto" w:sz="6" w:space="0"/>
            </w:tcBorders>
          </w:tcPr>
          <w:p>
            <w:pPr>
              <w:widowControl/>
              <w:autoSpaceDE w:val="0"/>
              <w:autoSpaceDN w:val="0"/>
              <w:spacing w:line="400" w:lineRule="atLeast"/>
              <w:ind w:firstLine="13"/>
              <w:jc w:val="right"/>
              <w:textAlignment w:val="bottom"/>
              <w:rPr>
                <w:rFonts w:ascii="仿宋_GB2312" w:hAnsi="仿宋_GB2312" w:eastAsia="仿宋_GB2312" w:cs="仿宋_GB2312"/>
                <w:color w:val="auto"/>
                <w:szCs w:val="21"/>
              </w:rPr>
            </w:pPr>
          </w:p>
        </w:tc>
      </w:tr>
      <w:tr>
        <w:tblPrEx>
          <w:tblCellMar>
            <w:top w:w="0" w:type="dxa"/>
            <w:left w:w="28" w:type="dxa"/>
            <w:bottom w:w="0" w:type="dxa"/>
            <w:right w:w="28" w:type="dxa"/>
          </w:tblCellMar>
        </w:tblPrEx>
        <w:trPr>
          <w:cantSplit/>
          <w:trHeight w:val="454" w:hRule="atLeast"/>
        </w:trPr>
        <w:tc>
          <w:tcPr>
            <w:tcW w:w="44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left="73" w:leftChars="35" w:firstLine="850" w:firstLineChars="405"/>
              <w:textAlignment w:val="bottom"/>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 净资产收益率</w:t>
            </w:r>
          </w:p>
        </w:tc>
        <w:tc>
          <w:tcPr>
            <w:tcW w:w="1459"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firstLine="13"/>
              <w:jc w:val="center"/>
              <w:textAlignment w:val="bottom"/>
              <w:rPr>
                <w:rFonts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1329" w:type="dxa"/>
            <w:tcBorders>
              <w:top w:val="single" w:color="auto" w:sz="6" w:space="0"/>
              <w:left w:val="single" w:color="auto" w:sz="4" w:space="0"/>
              <w:bottom w:val="single" w:color="auto" w:sz="6" w:space="0"/>
              <w:right w:val="single" w:color="auto" w:sz="6" w:space="0"/>
            </w:tcBorders>
          </w:tcPr>
          <w:p>
            <w:pPr>
              <w:widowControl/>
              <w:autoSpaceDE w:val="0"/>
              <w:autoSpaceDN w:val="0"/>
              <w:spacing w:line="400" w:lineRule="atLeast"/>
              <w:ind w:firstLine="13"/>
              <w:jc w:val="right"/>
              <w:textAlignment w:val="bottom"/>
              <w:rPr>
                <w:rFonts w:ascii="仿宋_GB2312" w:hAnsi="仿宋_GB2312" w:eastAsia="仿宋_GB2312" w:cs="仿宋_GB2312"/>
                <w:color w:val="auto"/>
                <w:szCs w:val="21"/>
              </w:rPr>
            </w:pPr>
          </w:p>
        </w:tc>
      </w:tr>
      <w:tr>
        <w:tblPrEx>
          <w:tblCellMar>
            <w:top w:w="0" w:type="dxa"/>
            <w:left w:w="28" w:type="dxa"/>
            <w:bottom w:w="0" w:type="dxa"/>
            <w:right w:w="28" w:type="dxa"/>
          </w:tblCellMar>
        </w:tblPrEx>
        <w:trPr>
          <w:cantSplit/>
          <w:trHeight w:val="454" w:hRule="atLeast"/>
        </w:trPr>
        <w:tc>
          <w:tcPr>
            <w:tcW w:w="44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left="73" w:leftChars="35" w:firstLine="850" w:firstLineChars="405"/>
              <w:textAlignment w:val="bottom"/>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 总资产报酬率</w:t>
            </w:r>
          </w:p>
        </w:tc>
        <w:tc>
          <w:tcPr>
            <w:tcW w:w="1459"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firstLine="13"/>
              <w:jc w:val="center"/>
              <w:textAlignment w:val="bottom"/>
              <w:rPr>
                <w:rFonts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1329" w:type="dxa"/>
            <w:tcBorders>
              <w:top w:val="single" w:color="auto" w:sz="6" w:space="0"/>
              <w:left w:val="single" w:color="auto" w:sz="4" w:space="0"/>
              <w:bottom w:val="single" w:color="auto" w:sz="6" w:space="0"/>
              <w:right w:val="single" w:color="auto" w:sz="6" w:space="0"/>
            </w:tcBorders>
          </w:tcPr>
          <w:p>
            <w:pPr>
              <w:widowControl/>
              <w:autoSpaceDE w:val="0"/>
              <w:autoSpaceDN w:val="0"/>
              <w:spacing w:line="400" w:lineRule="atLeast"/>
              <w:ind w:firstLine="13"/>
              <w:jc w:val="right"/>
              <w:textAlignment w:val="bottom"/>
              <w:rPr>
                <w:rFonts w:ascii="仿宋_GB2312" w:hAnsi="仿宋_GB2312" w:eastAsia="仿宋_GB2312" w:cs="仿宋_GB2312"/>
                <w:color w:val="auto"/>
                <w:szCs w:val="21"/>
              </w:rPr>
            </w:pPr>
          </w:p>
        </w:tc>
      </w:tr>
      <w:tr>
        <w:trPr>
          <w:cantSplit/>
          <w:trHeight w:val="454" w:hRule="atLeast"/>
        </w:trPr>
        <w:tc>
          <w:tcPr>
            <w:tcW w:w="44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left="73" w:leftChars="35" w:firstLine="850" w:firstLineChars="405"/>
              <w:textAlignment w:val="bottom"/>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 主营业务利润率</w:t>
            </w:r>
          </w:p>
        </w:tc>
        <w:tc>
          <w:tcPr>
            <w:tcW w:w="1459"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firstLine="13"/>
              <w:jc w:val="center"/>
              <w:textAlignment w:val="bottom"/>
              <w:rPr>
                <w:rFonts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1329" w:type="dxa"/>
            <w:tcBorders>
              <w:top w:val="single" w:color="auto" w:sz="6" w:space="0"/>
              <w:left w:val="single" w:color="auto" w:sz="4" w:space="0"/>
              <w:bottom w:val="single" w:color="auto" w:sz="6" w:space="0"/>
              <w:right w:val="single" w:color="auto" w:sz="6" w:space="0"/>
            </w:tcBorders>
          </w:tcPr>
          <w:p>
            <w:pPr>
              <w:widowControl/>
              <w:autoSpaceDE w:val="0"/>
              <w:autoSpaceDN w:val="0"/>
              <w:spacing w:line="400" w:lineRule="atLeast"/>
              <w:ind w:firstLine="13"/>
              <w:jc w:val="right"/>
              <w:textAlignment w:val="bottom"/>
              <w:rPr>
                <w:rFonts w:ascii="仿宋_GB2312" w:hAnsi="仿宋_GB2312" w:eastAsia="仿宋_GB2312" w:cs="仿宋_GB2312"/>
                <w:color w:val="auto"/>
                <w:szCs w:val="21"/>
              </w:rPr>
            </w:pPr>
          </w:p>
        </w:tc>
      </w:tr>
      <w:tr>
        <w:tblPrEx>
          <w:tblCellMar>
            <w:top w:w="0" w:type="dxa"/>
            <w:left w:w="28" w:type="dxa"/>
            <w:bottom w:w="0" w:type="dxa"/>
            <w:right w:w="28" w:type="dxa"/>
          </w:tblCellMar>
        </w:tblPrEx>
        <w:trPr>
          <w:cantSplit/>
          <w:trHeight w:val="454" w:hRule="atLeast"/>
        </w:trPr>
        <w:tc>
          <w:tcPr>
            <w:tcW w:w="44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left="73" w:leftChars="35" w:firstLine="850" w:firstLineChars="405"/>
              <w:textAlignment w:val="bottom"/>
              <w:rPr>
                <w:rFonts w:ascii="仿宋_GB2312" w:hAnsi="仿宋_GB2312" w:eastAsia="仿宋_GB2312" w:cs="仿宋_GB2312"/>
                <w:color w:val="auto"/>
                <w:szCs w:val="21"/>
              </w:rPr>
            </w:pPr>
            <w:r>
              <w:rPr>
                <w:rFonts w:hint="eastAsia" w:ascii="仿宋_GB2312" w:hAnsi="仿宋_GB2312" w:eastAsia="仿宋_GB2312" w:cs="仿宋_GB2312"/>
                <w:color w:val="auto"/>
                <w:szCs w:val="21"/>
              </w:rPr>
              <w:t>4. 资产负债率</w:t>
            </w:r>
          </w:p>
        </w:tc>
        <w:tc>
          <w:tcPr>
            <w:tcW w:w="1459"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firstLine="13"/>
              <w:jc w:val="center"/>
              <w:textAlignment w:val="bottom"/>
              <w:rPr>
                <w:rFonts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1329" w:type="dxa"/>
            <w:tcBorders>
              <w:top w:val="single" w:color="auto" w:sz="6" w:space="0"/>
              <w:left w:val="single" w:color="auto" w:sz="4" w:space="0"/>
              <w:bottom w:val="single" w:color="auto" w:sz="6" w:space="0"/>
              <w:right w:val="single" w:color="auto" w:sz="6" w:space="0"/>
            </w:tcBorders>
          </w:tcPr>
          <w:p>
            <w:pPr>
              <w:widowControl/>
              <w:autoSpaceDE w:val="0"/>
              <w:autoSpaceDN w:val="0"/>
              <w:spacing w:line="400" w:lineRule="atLeast"/>
              <w:ind w:firstLine="13"/>
              <w:jc w:val="right"/>
              <w:textAlignment w:val="bottom"/>
              <w:rPr>
                <w:rFonts w:ascii="仿宋_GB2312" w:hAnsi="仿宋_GB2312" w:eastAsia="仿宋_GB2312" w:cs="仿宋_GB2312"/>
                <w:color w:val="auto"/>
                <w:szCs w:val="21"/>
              </w:rPr>
            </w:pPr>
          </w:p>
        </w:tc>
      </w:tr>
      <w:tr>
        <w:tblPrEx>
          <w:tblCellMar>
            <w:top w:w="0" w:type="dxa"/>
            <w:left w:w="28" w:type="dxa"/>
            <w:bottom w:w="0" w:type="dxa"/>
            <w:right w:w="28" w:type="dxa"/>
          </w:tblCellMar>
        </w:tblPrEx>
        <w:trPr>
          <w:cantSplit/>
          <w:trHeight w:val="454" w:hRule="atLeast"/>
        </w:trPr>
        <w:tc>
          <w:tcPr>
            <w:tcW w:w="44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left="73" w:leftChars="35" w:firstLine="850" w:firstLineChars="405"/>
              <w:textAlignment w:val="bottom"/>
              <w:rPr>
                <w:rFonts w:ascii="仿宋_GB2312" w:hAnsi="仿宋_GB2312" w:eastAsia="仿宋_GB2312" w:cs="仿宋_GB2312"/>
                <w:color w:val="auto"/>
                <w:szCs w:val="21"/>
              </w:rPr>
            </w:pPr>
            <w:r>
              <w:rPr>
                <w:rFonts w:hint="eastAsia" w:ascii="仿宋_GB2312" w:hAnsi="仿宋_GB2312" w:eastAsia="仿宋_GB2312" w:cs="仿宋_GB2312"/>
                <w:color w:val="auto"/>
                <w:szCs w:val="21"/>
              </w:rPr>
              <w:t>5. 流动比率</w:t>
            </w:r>
          </w:p>
        </w:tc>
        <w:tc>
          <w:tcPr>
            <w:tcW w:w="1459"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firstLine="13"/>
              <w:jc w:val="center"/>
              <w:textAlignment w:val="bottom"/>
              <w:rPr>
                <w:rFonts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1329" w:type="dxa"/>
            <w:tcBorders>
              <w:top w:val="single" w:color="auto" w:sz="6" w:space="0"/>
              <w:left w:val="single" w:color="auto" w:sz="4" w:space="0"/>
              <w:bottom w:val="single" w:color="auto" w:sz="6" w:space="0"/>
              <w:right w:val="single" w:color="auto" w:sz="6" w:space="0"/>
            </w:tcBorders>
          </w:tcPr>
          <w:p>
            <w:pPr>
              <w:widowControl/>
              <w:autoSpaceDE w:val="0"/>
              <w:autoSpaceDN w:val="0"/>
              <w:spacing w:line="400" w:lineRule="atLeast"/>
              <w:ind w:firstLine="13"/>
              <w:jc w:val="right"/>
              <w:textAlignment w:val="bottom"/>
              <w:rPr>
                <w:rFonts w:ascii="仿宋_GB2312" w:hAnsi="仿宋_GB2312" w:eastAsia="仿宋_GB2312" w:cs="仿宋_GB2312"/>
                <w:color w:val="auto"/>
                <w:szCs w:val="21"/>
              </w:rPr>
            </w:pPr>
          </w:p>
        </w:tc>
      </w:tr>
      <w:tr>
        <w:tblPrEx>
          <w:tblCellMar>
            <w:top w:w="0" w:type="dxa"/>
            <w:left w:w="28" w:type="dxa"/>
            <w:bottom w:w="0" w:type="dxa"/>
            <w:right w:w="28" w:type="dxa"/>
          </w:tblCellMar>
        </w:tblPrEx>
        <w:trPr>
          <w:cantSplit/>
          <w:trHeight w:val="454" w:hRule="atLeast"/>
        </w:trPr>
        <w:tc>
          <w:tcPr>
            <w:tcW w:w="44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left="73" w:leftChars="35" w:firstLine="850" w:firstLineChars="405"/>
              <w:textAlignment w:val="bottom"/>
              <w:rPr>
                <w:rFonts w:ascii="仿宋_GB2312" w:hAnsi="仿宋_GB2312" w:eastAsia="仿宋_GB2312" w:cs="仿宋_GB2312"/>
                <w:color w:val="auto"/>
                <w:szCs w:val="21"/>
              </w:rPr>
            </w:pPr>
            <w:r>
              <w:rPr>
                <w:rFonts w:hint="eastAsia" w:ascii="仿宋_GB2312" w:hAnsi="仿宋_GB2312" w:eastAsia="仿宋_GB2312" w:cs="仿宋_GB2312"/>
                <w:color w:val="auto"/>
                <w:szCs w:val="21"/>
              </w:rPr>
              <w:t>6. 速动比率</w:t>
            </w:r>
          </w:p>
        </w:tc>
        <w:tc>
          <w:tcPr>
            <w:tcW w:w="1459"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firstLine="13"/>
              <w:jc w:val="center"/>
              <w:textAlignment w:val="bottom"/>
              <w:rPr>
                <w:rFonts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1329" w:type="dxa"/>
            <w:tcBorders>
              <w:top w:val="single" w:color="auto" w:sz="6" w:space="0"/>
              <w:left w:val="single" w:color="auto" w:sz="4" w:space="0"/>
              <w:bottom w:val="single" w:color="auto" w:sz="6" w:space="0"/>
              <w:right w:val="single" w:color="auto" w:sz="6" w:space="0"/>
            </w:tcBorders>
          </w:tcPr>
          <w:p>
            <w:pPr>
              <w:widowControl/>
              <w:autoSpaceDE w:val="0"/>
              <w:autoSpaceDN w:val="0"/>
              <w:spacing w:line="400" w:lineRule="atLeast"/>
              <w:ind w:firstLine="13"/>
              <w:jc w:val="right"/>
              <w:textAlignment w:val="bottom"/>
              <w:rPr>
                <w:rFonts w:ascii="仿宋_GB2312" w:hAnsi="仿宋_GB2312" w:eastAsia="仿宋_GB2312" w:cs="仿宋_GB2312"/>
                <w:color w:val="auto"/>
                <w:szCs w:val="21"/>
              </w:rPr>
            </w:pPr>
          </w:p>
        </w:tc>
      </w:tr>
    </w:tbl>
    <w:p>
      <w:pPr>
        <w:numPr>
          <w:ilvl w:val="0"/>
          <w:numId w:val="5"/>
        </w:numPr>
        <w:spacing w:line="400" w:lineRule="atLeast"/>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本表后须附202X年度经审计的财务报告，包括“审计报告正文，资产负债表、利润表、现金流量表、所有者权益变动表”；</w:t>
      </w:r>
    </w:p>
    <w:p>
      <w:pPr>
        <w:numPr>
          <w:ilvl w:val="0"/>
          <w:numId w:val="5"/>
        </w:numPr>
        <w:spacing w:line="400" w:lineRule="atLeast"/>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本表所列数据必须与本表各附件中的数据相一致；</w:t>
      </w:r>
    </w:p>
    <w:p>
      <w:pPr>
        <w:numPr>
          <w:ilvl w:val="0"/>
          <w:numId w:val="5"/>
        </w:numPr>
        <w:spacing w:line="400" w:lineRule="atLeas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Cs w:val="21"/>
        </w:rPr>
        <w:t>以联合体形式参与询价的，联合体各成员应分别填写。</w:t>
      </w:r>
      <w:r>
        <w:rPr>
          <w:rFonts w:hint="eastAsia" w:ascii="仿宋_GB2312" w:hAnsi="仿宋_GB2312" w:eastAsia="仿宋_GB2312" w:cs="仿宋_GB2312"/>
          <w:color w:val="auto"/>
          <w:szCs w:val="21"/>
        </w:rPr>
        <w:br w:type="page"/>
      </w:r>
    </w:p>
    <w:p>
      <w:pPr>
        <w:spacing w:before="319" w:beforeLines="100" w:after="319" w:afterLines="100" w:line="360" w:lineRule="auto"/>
        <w:jc w:val="center"/>
        <w:rPr>
          <w:rFonts w:ascii="仿宋_GB2312" w:hAnsi="仿宋_GB2312" w:eastAsia="仿宋_GB2312" w:cs="仿宋_GB2312"/>
          <w:b/>
          <w:bCs/>
          <w:color w:val="auto"/>
          <w:sz w:val="32"/>
          <w:szCs w:val="32"/>
        </w:rPr>
      </w:pPr>
    </w:p>
    <w:p>
      <w:pPr>
        <w:spacing w:before="319" w:beforeLines="100" w:after="319" w:afterLines="100" w:line="360" w:lineRule="auto"/>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具备履行合同所必需的设备和专业技术能力声明函</w:t>
      </w:r>
    </w:p>
    <w:p>
      <w:pPr>
        <w:spacing w:before="319" w:beforeLines="100" w:after="319" w:afterLines="100" w:line="480" w:lineRule="exact"/>
        <w:ind w:right="630" w:rightChars="30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（格式自拟）</w:t>
      </w:r>
    </w:p>
    <w:p>
      <w:pPr>
        <w:spacing w:line="360" w:lineRule="auto"/>
        <w:rPr>
          <w:rFonts w:ascii="仿宋_GB2312" w:hAnsi="仿宋_GB2312" w:eastAsia="仿宋_GB2312" w:cs="仿宋_GB2312"/>
          <w:color w:val="auto"/>
        </w:rPr>
      </w:pPr>
    </w:p>
    <w:p>
      <w:pPr>
        <w:spacing w:line="360" w:lineRule="auto"/>
        <w:rPr>
          <w:rFonts w:ascii="仿宋_GB2312" w:hAnsi="仿宋_GB2312" w:eastAsia="仿宋_GB2312" w:cs="仿宋_GB2312"/>
          <w:color w:val="auto"/>
        </w:rPr>
      </w:pPr>
    </w:p>
    <w:p>
      <w:pPr>
        <w:pStyle w:val="31"/>
        <w:wordWrap w:val="0"/>
        <w:topLinePunct/>
        <w:spacing w:before="0"/>
        <w:rPr>
          <w:rFonts w:ascii="仿宋_GB2312" w:hAnsi="仿宋_GB2312" w:eastAsia="仿宋_GB2312" w:cs="仿宋_GB2312"/>
          <w:b w:val="0"/>
          <w:bCs/>
          <w:color w:val="auto"/>
          <w:sz w:val="21"/>
          <w:szCs w:val="21"/>
        </w:rPr>
      </w:pPr>
    </w:p>
    <w:p>
      <w:pPr>
        <w:pStyle w:val="31"/>
        <w:wordWrap w:val="0"/>
        <w:topLinePunct/>
        <w:spacing w:before="0"/>
        <w:rPr>
          <w:rFonts w:ascii="仿宋_GB2312" w:hAnsi="仿宋_GB2312" w:eastAsia="仿宋_GB2312" w:cs="仿宋_GB2312"/>
          <w:b w:val="0"/>
          <w:bCs/>
          <w:color w:val="auto"/>
          <w:sz w:val="21"/>
          <w:szCs w:val="21"/>
        </w:rPr>
      </w:pPr>
      <w:r>
        <w:rPr>
          <w:rFonts w:hint="eastAsia" w:ascii="仿宋_GB2312" w:hAnsi="仿宋_GB2312" w:eastAsia="仿宋_GB2312" w:cs="仿宋_GB2312"/>
          <w:b w:val="0"/>
          <w:bCs/>
          <w:color w:val="auto"/>
          <w:sz w:val="21"/>
          <w:szCs w:val="21"/>
        </w:rPr>
        <w:t>注：承诺函后须附附表《拟委任的项目技术人员汇总表》及附件。</w:t>
      </w:r>
    </w:p>
    <w:p>
      <w:pPr>
        <w:spacing w:line="360" w:lineRule="auto"/>
        <w:rPr>
          <w:rFonts w:ascii="仿宋_GB2312" w:hAnsi="仿宋_GB2312" w:eastAsia="仿宋_GB2312" w:cs="仿宋_GB2312"/>
          <w:color w:val="auto"/>
        </w:rPr>
      </w:pPr>
    </w:p>
    <w:p>
      <w:pPr>
        <w:spacing w:line="360" w:lineRule="auto"/>
        <w:rPr>
          <w:rFonts w:ascii="仿宋_GB2312" w:hAnsi="仿宋_GB2312" w:eastAsia="仿宋_GB2312" w:cs="仿宋_GB2312"/>
          <w:color w:val="auto"/>
        </w:rPr>
      </w:pPr>
    </w:p>
    <w:p>
      <w:pPr>
        <w:spacing w:line="360" w:lineRule="auto"/>
        <w:rPr>
          <w:rFonts w:ascii="仿宋_GB2312" w:hAnsi="仿宋_GB2312" w:eastAsia="仿宋_GB2312" w:cs="仿宋_GB2312"/>
          <w:color w:val="auto"/>
        </w:rPr>
      </w:pPr>
    </w:p>
    <w:p>
      <w:pPr>
        <w:spacing w:line="480" w:lineRule="auto"/>
        <w:rPr>
          <w:rFonts w:ascii="仿宋_GB2312" w:hAnsi="仿宋_GB2312" w:eastAsia="仿宋_GB2312" w:cs="仿宋_GB2312"/>
          <w:color w:val="auto"/>
        </w:rPr>
      </w:pPr>
      <w:r>
        <w:rPr>
          <w:rFonts w:hint="eastAsia" w:ascii="仿宋_GB2312" w:hAnsi="仿宋_GB2312" w:eastAsia="仿宋_GB2312" w:cs="仿宋_GB2312"/>
          <w:color w:val="auto"/>
        </w:rPr>
        <w:t>投标人名称（加盖单位公章）：</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 xml:space="preserve">        </w:t>
      </w:r>
    </w:p>
    <w:p>
      <w:pPr>
        <w:spacing w:line="480" w:lineRule="auto"/>
        <w:rPr>
          <w:rFonts w:ascii="仿宋_GB2312" w:hAnsi="仿宋_GB2312" w:eastAsia="仿宋_GB2312" w:cs="仿宋_GB2312"/>
          <w:color w:val="auto"/>
        </w:rPr>
      </w:pPr>
      <w:r>
        <w:rPr>
          <w:rFonts w:hint="eastAsia" w:ascii="仿宋_GB2312" w:hAnsi="仿宋_GB2312" w:eastAsia="仿宋_GB2312" w:cs="仿宋_GB2312"/>
          <w:color w:val="auto"/>
        </w:rPr>
        <w:t>法定代表人</w:t>
      </w:r>
      <w:r>
        <w:rPr>
          <w:rFonts w:hint="eastAsia" w:ascii="仿宋_GB2312" w:hAnsi="仿宋_GB2312" w:eastAsia="仿宋_GB2312" w:cs="仿宋_GB2312"/>
          <w:color w:val="auto"/>
          <w:szCs w:val="21"/>
        </w:rPr>
        <w:t>或</w:t>
      </w:r>
      <w:r>
        <w:rPr>
          <w:rFonts w:hint="eastAsia" w:ascii="仿宋_GB2312" w:hAnsi="仿宋_GB2312" w:eastAsia="仿宋_GB2312" w:cs="仿宋_GB2312"/>
          <w:color w:val="auto"/>
        </w:rPr>
        <w:t>其授权委托人</w:t>
      </w:r>
      <w:r>
        <w:rPr>
          <w:rFonts w:hint="eastAsia" w:ascii="仿宋_GB2312" w:hAnsi="仿宋_GB2312" w:eastAsia="仿宋_GB2312" w:cs="仿宋_GB2312"/>
          <w:color w:val="auto"/>
          <w:u w:val="single"/>
        </w:rPr>
        <w:t>(签字或盖章)</w:t>
      </w:r>
      <w:r>
        <w:rPr>
          <w:rFonts w:hint="eastAsia" w:ascii="仿宋_GB2312" w:hAnsi="仿宋_GB2312" w:eastAsia="仿宋_GB2312" w:cs="仿宋_GB2312"/>
          <w:color w:val="auto"/>
        </w:rPr>
        <w:t>：</w:t>
      </w:r>
      <w:r>
        <w:rPr>
          <w:rFonts w:hint="eastAsia" w:ascii="仿宋_GB2312" w:hAnsi="仿宋_GB2312" w:eastAsia="仿宋_GB2312" w:cs="仿宋_GB2312"/>
          <w:color w:val="auto"/>
          <w:u w:val="single"/>
        </w:rPr>
        <w:t xml:space="preserve">          </w:t>
      </w:r>
    </w:p>
    <w:p>
      <w:pPr>
        <w:spacing w:line="480" w:lineRule="auto"/>
        <w:rPr>
          <w:rFonts w:ascii="仿宋_GB2312" w:hAnsi="仿宋_GB2312" w:eastAsia="仿宋_GB2312" w:cs="仿宋_GB2312"/>
          <w:color w:val="auto"/>
        </w:rPr>
      </w:pPr>
      <w:r>
        <w:rPr>
          <w:rFonts w:hint="eastAsia" w:ascii="仿宋_GB2312" w:hAnsi="仿宋_GB2312" w:eastAsia="仿宋_GB2312" w:cs="仿宋_GB2312"/>
          <w:color w:val="auto"/>
        </w:rPr>
        <w:t xml:space="preserve">日期： </w:t>
      </w:r>
      <w:r>
        <w:rPr>
          <w:rFonts w:hint="eastAsia" w:ascii="仿宋_GB2312" w:hAnsi="仿宋_GB2312" w:eastAsia="仿宋_GB2312" w:cs="仿宋_GB2312"/>
          <w:color w:val="auto"/>
          <w:u w:val="single"/>
        </w:rPr>
        <w:t xml:space="preserve">              </w:t>
      </w:r>
    </w:p>
    <w:p>
      <w:pPr>
        <w:spacing w:before="319" w:beforeLines="100" w:after="319" w:afterLines="100" w:line="480" w:lineRule="exact"/>
        <w:ind w:right="630" w:rightChars="300"/>
        <w:rPr>
          <w:rFonts w:ascii="仿宋_GB2312" w:hAnsi="仿宋_GB2312" w:eastAsia="仿宋_GB2312" w:cs="仿宋_GB2312"/>
          <w:b/>
          <w:color w:val="auto"/>
          <w:sz w:val="28"/>
          <w:szCs w:val="28"/>
        </w:rPr>
      </w:pPr>
    </w:p>
    <w:p>
      <w:pPr>
        <w:spacing w:before="319" w:beforeLines="100" w:after="319" w:afterLines="100" w:line="480" w:lineRule="exact"/>
        <w:ind w:right="630" w:rightChars="300"/>
        <w:rPr>
          <w:rFonts w:ascii="仿宋_GB2312" w:hAnsi="仿宋_GB2312" w:eastAsia="仿宋_GB2312" w:cs="仿宋_GB2312"/>
          <w:b/>
          <w:color w:val="auto"/>
          <w:sz w:val="28"/>
          <w:szCs w:val="28"/>
        </w:rPr>
      </w:pPr>
    </w:p>
    <w:p>
      <w:pPr>
        <w:spacing w:before="319" w:beforeLines="100" w:after="319" w:afterLines="100" w:line="480" w:lineRule="exact"/>
        <w:ind w:right="630" w:rightChars="300"/>
        <w:rPr>
          <w:rFonts w:ascii="仿宋_GB2312" w:hAnsi="仿宋_GB2312" w:eastAsia="仿宋_GB2312" w:cs="仿宋_GB2312"/>
          <w:b/>
          <w:color w:val="auto"/>
          <w:sz w:val="28"/>
          <w:szCs w:val="28"/>
        </w:rPr>
      </w:pPr>
    </w:p>
    <w:p>
      <w:pPr>
        <w:pStyle w:val="18"/>
        <w:rPr>
          <w:rFonts w:ascii="仿宋_GB2312" w:hAnsi="仿宋_GB2312" w:eastAsia="仿宋_GB2312" w:cs="仿宋_GB2312"/>
          <w:b/>
          <w:color w:val="auto"/>
          <w:sz w:val="28"/>
          <w:szCs w:val="28"/>
        </w:rPr>
      </w:pPr>
    </w:p>
    <w:p>
      <w:pPr>
        <w:rPr>
          <w:color w:val="auto"/>
        </w:rPr>
      </w:pPr>
    </w:p>
    <w:p>
      <w:pPr>
        <w:spacing w:before="319" w:beforeLines="100" w:after="319" w:afterLines="100" w:line="480" w:lineRule="exact"/>
        <w:ind w:right="630" w:rightChars="300"/>
        <w:rPr>
          <w:rFonts w:ascii="仿宋_GB2312" w:hAnsi="仿宋_GB2312" w:eastAsia="仿宋_GB2312" w:cs="仿宋_GB2312"/>
          <w:b/>
          <w:color w:val="auto"/>
          <w:sz w:val="28"/>
          <w:szCs w:val="28"/>
        </w:rPr>
      </w:pPr>
    </w:p>
    <w:p>
      <w:pPr>
        <w:pStyle w:val="24"/>
        <w:rPr>
          <w:color w:val="auto"/>
        </w:rPr>
      </w:pPr>
    </w:p>
    <w:p>
      <w:pPr>
        <w:spacing w:before="319" w:beforeLines="100" w:after="319" w:afterLines="100" w:line="480" w:lineRule="exact"/>
        <w:ind w:right="630" w:rightChars="300"/>
        <w:rPr>
          <w:rFonts w:ascii="仿宋_GB2312" w:hAnsi="仿宋_GB2312" w:eastAsia="仿宋_GB2312" w:cs="仿宋_GB2312"/>
          <w:b/>
          <w:color w:val="auto"/>
          <w:sz w:val="28"/>
          <w:szCs w:val="28"/>
        </w:rPr>
      </w:pPr>
    </w:p>
    <w:p>
      <w:pPr>
        <w:pStyle w:val="18"/>
        <w:ind w:firstLine="0"/>
        <w:rPr>
          <w:rFonts w:ascii="仿宋_GB2312" w:hAnsi="仿宋_GB2312" w:eastAsia="仿宋_GB2312" w:cs="仿宋_GB2312"/>
          <w:color w:val="auto"/>
          <w:szCs w:val="21"/>
        </w:rPr>
      </w:pPr>
      <w:r>
        <w:rPr>
          <w:rFonts w:hint="eastAsia" w:ascii="仿宋_GB2312" w:hAnsi="仿宋_GB2312" w:eastAsia="仿宋_GB2312" w:cs="仿宋_GB2312"/>
          <w:b/>
          <w:color w:val="auto"/>
          <w:szCs w:val="21"/>
        </w:rPr>
        <w:t>附表</w:t>
      </w:r>
    </w:p>
    <w:p>
      <w:pPr>
        <w:pStyle w:val="31"/>
        <w:wordWrap w:val="0"/>
        <w:topLinePunct/>
        <w:spacing w:before="0"/>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拟委任的项目技术人员汇总表</w:t>
      </w:r>
    </w:p>
    <w:p>
      <w:pPr>
        <w:wordWrap w:val="0"/>
        <w:topLinePunct/>
        <w:spacing w:line="300" w:lineRule="exact"/>
        <w:jc w:val="center"/>
        <w:rPr>
          <w:rFonts w:ascii="仿宋_GB2312" w:hAnsi="仿宋_GB2312" w:eastAsia="仿宋_GB2312" w:cs="仿宋_GB2312"/>
          <w:color w:val="auto"/>
          <w:szCs w:val="21"/>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772"/>
        <w:gridCol w:w="1342"/>
        <w:gridCol w:w="1084"/>
        <w:gridCol w:w="1372"/>
        <w:gridCol w:w="1587"/>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136" w:type="dxa"/>
            <w:vAlign w:val="center"/>
          </w:tcPr>
          <w:p>
            <w:pPr>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姓名</w:t>
            </w:r>
          </w:p>
        </w:tc>
        <w:tc>
          <w:tcPr>
            <w:tcW w:w="772" w:type="dxa"/>
            <w:vAlign w:val="center"/>
          </w:tcPr>
          <w:p>
            <w:pPr>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年龄</w:t>
            </w:r>
          </w:p>
        </w:tc>
        <w:tc>
          <w:tcPr>
            <w:tcW w:w="1342" w:type="dxa"/>
            <w:vAlign w:val="center"/>
          </w:tcPr>
          <w:p>
            <w:pPr>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拟在本项目中担任的职务</w:t>
            </w:r>
          </w:p>
        </w:tc>
        <w:tc>
          <w:tcPr>
            <w:tcW w:w="1084" w:type="dxa"/>
            <w:vAlign w:val="center"/>
          </w:tcPr>
          <w:p>
            <w:pPr>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技术职称</w:t>
            </w:r>
          </w:p>
        </w:tc>
        <w:tc>
          <w:tcPr>
            <w:tcW w:w="1372" w:type="dxa"/>
            <w:vAlign w:val="center"/>
          </w:tcPr>
          <w:p>
            <w:pPr>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资格证书类别及注册号</w:t>
            </w:r>
          </w:p>
        </w:tc>
        <w:tc>
          <w:tcPr>
            <w:tcW w:w="1587" w:type="dxa"/>
            <w:vAlign w:val="center"/>
          </w:tcPr>
          <w:p>
            <w:pPr>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累计对应岗位的工作年限（年）</w:t>
            </w:r>
          </w:p>
        </w:tc>
        <w:tc>
          <w:tcPr>
            <w:tcW w:w="1037" w:type="dxa"/>
            <w:vAlign w:val="center"/>
          </w:tcPr>
          <w:p>
            <w:pPr>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36" w:type="dxa"/>
            <w:vAlign w:val="center"/>
          </w:tcPr>
          <w:p>
            <w:pPr>
              <w:topLinePunct/>
              <w:snapToGrid w:val="0"/>
              <w:spacing w:line="240" w:lineRule="atLeast"/>
              <w:jc w:val="center"/>
              <w:rPr>
                <w:rFonts w:ascii="仿宋_GB2312" w:hAnsi="仿宋_GB2312" w:eastAsia="仿宋_GB2312" w:cs="仿宋_GB2312"/>
                <w:color w:val="auto"/>
                <w:szCs w:val="21"/>
              </w:rPr>
            </w:pPr>
          </w:p>
        </w:tc>
        <w:tc>
          <w:tcPr>
            <w:tcW w:w="772" w:type="dxa"/>
            <w:vAlign w:val="center"/>
          </w:tcPr>
          <w:p>
            <w:pPr>
              <w:topLinePunct/>
              <w:snapToGrid w:val="0"/>
              <w:spacing w:line="240" w:lineRule="atLeast"/>
              <w:jc w:val="center"/>
              <w:rPr>
                <w:rFonts w:ascii="仿宋_GB2312" w:hAnsi="仿宋_GB2312" w:eastAsia="仿宋_GB2312" w:cs="仿宋_GB2312"/>
                <w:color w:val="auto"/>
                <w:szCs w:val="21"/>
              </w:rPr>
            </w:pPr>
          </w:p>
        </w:tc>
        <w:tc>
          <w:tcPr>
            <w:tcW w:w="1342" w:type="dxa"/>
            <w:vAlign w:val="center"/>
          </w:tcPr>
          <w:p>
            <w:pPr>
              <w:topLinePunct/>
              <w:snapToGrid w:val="0"/>
              <w:spacing w:line="240" w:lineRule="atLeast"/>
              <w:jc w:val="center"/>
              <w:rPr>
                <w:rFonts w:ascii="仿宋_GB2312" w:hAnsi="仿宋_GB2312" w:eastAsia="仿宋_GB2312" w:cs="仿宋_GB2312"/>
                <w:color w:val="auto"/>
                <w:szCs w:val="21"/>
              </w:rPr>
            </w:pPr>
          </w:p>
        </w:tc>
        <w:tc>
          <w:tcPr>
            <w:tcW w:w="1084" w:type="dxa"/>
            <w:vAlign w:val="center"/>
          </w:tcPr>
          <w:p>
            <w:pPr>
              <w:topLinePunct/>
              <w:snapToGrid w:val="0"/>
              <w:spacing w:line="240" w:lineRule="atLeast"/>
              <w:jc w:val="center"/>
              <w:rPr>
                <w:rFonts w:ascii="仿宋_GB2312" w:hAnsi="仿宋_GB2312" w:eastAsia="仿宋_GB2312" w:cs="仿宋_GB2312"/>
                <w:color w:val="auto"/>
                <w:szCs w:val="21"/>
              </w:rPr>
            </w:pPr>
          </w:p>
        </w:tc>
        <w:tc>
          <w:tcPr>
            <w:tcW w:w="1372" w:type="dxa"/>
            <w:vAlign w:val="center"/>
          </w:tcPr>
          <w:p>
            <w:pPr>
              <w:topLinePunct/>
              <w:snapToGrid w:val="0"/>
              <w:spacing w:line="240" w:lineRule="atLeast"/>
              <w:jc w:val="center"/>
              <w:rPr>
                <w:rFonts w:ascii="仿宋_GB2312" w:hAnsi="仿宋_GB2312" w:eastAsia="仿宋_GB2312" w:cs="仿宋_GB2312"/>
                <w:color w:val="auto"/>
                <w:szCs w:val="21"/>
              </w:rPr>
            </w:pPr>
          </w:p>
        </w:tc>
        <w:tc>
          <w:tcPr>
            <w:tcW w:w="1587" w:type="dxa"/>
            <w:vAlign w:val="center"/>
          </w:tcPr>
          <w:p>
            <w:pPr>
              <w:topLinePunct/>
              <w:snapToGrid w:val="0"/>
              <w:spacing w:line="240" w:lineRule="atLeast"/>
              <w:jc w:val="center"/>
              <w:rPr>
                <w:rFonts w:ascii="仿宋_GB2312" w:hAnsi="仿宋_GB2312" w:eastAsia="仿宋_GB2312" w:cs="仿宋_GB2312"/>
                <w:color w:val="auto"/>
                <w:szCs w:val="21"/>
              </w:rPr>
            </w:pPr>
          </w:p>
        </w:tc>
        <w:tc>
          <w:tcPr>
            <w:tcW w:w="1037" w:type="dxa"/>
            <w:vAlign w:val="center"/>
          </w:tcPr>
          <w:p>
            <w:pPr>
              <w:topLinePunct/>
              <w:snapToGrid w:val="0"/>
              <w:spacing w:line="240" w:lineRule="atLeast"/>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36" w:type="dxa"/>
            <w:vAlign w:val="center"/>
          </w:tcPr>
          <w:p>
            <w:pPr>
              <w:topLinePunct/>
              <w:snapToGrid w:val="0"/>
              <w:spacing w:line="240" w:lineRule="atLeast"/>
              <w:jc w:val="center"/>
              <w:rPr>
                <w:rFonts w:ascii="仿宋_GB2312" w:hAnsi="仿宋_GB2312" w:eastAsia="仿宋_GB2312" w:cs="仿宋_GB2312"/>
                <w:color w:val="auto"/>
                <w:szCs w:val="21"/>
              </w:rPr>
            </w:pPr>
          </w:p>
        </w:tc>
        <w:tc>
          <w:tcPr>
            <w:tcW w:w="772" w:type="dxa"/>
            <w:vAlign w:val="center"/>
          </w:tcPr>
          <w:p>
            <w:pPr>
              <w:topLinePunct/>
              <w:snapToGrid w:val="0"/>
              <w:spacing w:line="240" w:lineRule="atLeast"/>
              <w:jc w:val="center"/>
              <w:rPr>
                <w:rFonts w:ascii="仿宋_GB2312" w:hAnsi="仿宋_GB2312" w:eastAsia="仿宋_GB2312" w:cs="仿宋_GB2312"/>
                <w:color w:val="auto"/>
                <w:szCs w:val="21"/>
              </w:rPr>
            </w:pPr>
          </w:p>
        </w:tc>
        <w:tc>
          <w:tcPr>
            <w:tcW w:w="1342" w:type="dxa"/>
            <w:vAlign w:val="center"/>
          </w:tcPr>
          <w:p>
            <w:pPr>
              <w:topLinePunct/>
              <w:snapToGrid w:val="0"/>
              <w:spacing w:line="240" w:lineRule="atLeast"/>
              <w:jc w:val="center"/>
              <w:rPr>
                <w:rFonts w:ascii="仿宋_GB2312" w:hAnsi="仿宋_GB2312" w:eastAsia="仿宋_GB2312" w:cs="仿宋_GB2312"/>
                <w:color w:val="auto"/>
                <w:szCs w:val="21"/>
              </w:rPr>
            </w:pPr>
          </w:p>
        </w:tc>
        <w:tc>
          <w:tcPr>
            <w:tcW w:w="1084" w:type="dxa"/>
            <w:vAlign w:val="center"/>
          </w:tcPr>
          <w:p>
            <w:pPr>
              <w:topLinePunct/>
              <w:snapToGrid w:val="0"/>
              <w:spacing w:line="240" w:lineRule="atLeast"/>
              <w:jc w:val="center"/>
              <w:rPr>
                <w:rFonts w:ascii="仿宋_GB2312" w:hAnsi="仿宋_GB2312" w:eastAsia="仿宋_GB2312" w:cs="仿宋_GB2312"/>
                <w:color w:val="auto"/>
                <w:szCs w:val="21"/>
              </w:rPr>
            </w:pPr>
          </w:p>
        </w:tc>
        <w:tc>
          <w:tcPr>
            <w:tcW w:w="1372" w:type="dxa"/>
            <w:vAlign w:val="center"/>
          </w:tcPr>
          <w:p>
            <w:pPr>
              <w:topLinePunct/>
              <w:snapToGrid w:val="0"/>
              <w:spacing w:line="240" w:lineRule="atLeast"/>
              <w:jc w:val="center"/>
              <w:rPr>
                <w:rFonts w:ascii="仿宋_GB2312" w:hAnsi="仿宋_GB2312" w:eastAsia="仿宋_GB2312" w:cs="仿宋_GB2312"/>
                <w:color w:val="auto"/>
                <w:szCs w:val="21"/>
              </w:rPr>
            </w:pPr>
          </w:p>
        </w:tc>
        <w:tc>
          <w:tcPr>
            <w:tcW w:w="1587" w:type="dxa"/>
            <w:vAlign w:val="center"/>
          </w:tcPr>
          <w:p>
            <w:pPr>
              <w:topLinePunct/>
              <w:snapToGrid w:val="0"/>
              <w:spacing w:line="240" w:lineRule="atLeast"/>
              <w:jc w:val="center"/>
              <w:rPr>
                <w:rFonts w:ascii="仿宋_GB2312" w:hAnsi="仿宋_GB2312" w:eastAsia="仿宋_GB2312" w:cs="仿宋_GB2312"/>
                <w:color w:val="auto"/>
                <w:szCs w:val="21"/>
              </w:rPr>
            </w:pPr>
          </w:p>
        </w:tc>
        <w:tc>
          <w:tcPr>
            <w:tcW w:w="1037" w:type="dxa"/>
            <w:vAlign w:val="center"/>
          </w:tcPr>
          <w:p>
            <w:pPr>
              <w:topLinePunct/>
              <w:snapToGrid w:val="0"/>
              <w:spacing w:line="240" w:lineRule="atLeast"/>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36" w:type="dxa"/>
            <w:vAlign w:val="center"/>
          </w:tcPr>
          <w:p>
            <w:pPr>
              <w:topLinePunct/>
              <w:snapToGrid w:val="0"/>
              <w:spacing w:line="240" w:lineRule="atLeast"/>
              <w:jc w:val="center"/>
              <w:rPr>
                <w:rFonts w:ascii="仿宋_GB2312" w:hAnsi="仿宋_GB2312" w:eastAsia="仿宋_GB2312" w:cs="仿宋_GB2312"/>
                <w:color w:val="auto"/>
                <w:szCs w:val="21"/>
              </w:rPr>
            </w:pPr>
          </w:p>
        </w:tc>
        <w:tc>
          <w:tcPr>
            <w:tcW w:w="772" w:type="dxa"/>
            <w:vAlign w:val="center"/>
          </w:tcPr>
          <w:p>
            <w:pPr>
              <w:topLinePunct/>
              <w:snapToGrid w:val="0"/>
              <w:spacing w:line="240" w:lineRule="atLeast"/>
              <w:jc w:val="center"/>
              <w:rPr>
                <w:rFonts w:ascii="仿宋_GB2312" w:hAnsi="仿宋_GB2312" w:eastAsia="仿宋_GB2312" w:cs="仿宋_GB2312"/>
                <w:color w:val="auto"/>
                <w:szCs w:val="21"/>
              </w:rPr>
            </w:pPr>
          </w:p>
        </w:tc>
        <w:tc>
          <w:tcPr>
            <w:tcW w:w="1342" w:type="dxa"/>
            <w:vAlign w:val="center"/>
          </w:tcPr>
          <w:p>
            <w:pPr>
              <w:topLinePunct/>
              <w:snapToGrid w:val="0"/>
              <w:spacing w:line="240" w:lineRule="atLeast"/>
              <w:jc w:val="center"/>
              <w:rPr>
                <w:rFonts w:ascii="仿宋_GB2312" w:hAnsi="仿宋_GB2312" w:eastAsia="仿宋_GB2312" w:cs="仿宋_GB2312"/>
                <w:color w:val="auto"/>
                <w:szCs w:val="21"/>
              </w:rPr>
            </w:pPr>
          </w:p>
        </w:tc>
        <w:tc>
          <w:tcPr>
            <w:tcW w:w="1084" w:type="dxa"/>
            <w:vAlign w:val="center"/>
          </w:tcPr>
          <w:p>
            <w:pPr>
              <w:topLinePunct/>
              <w:snapToGrid w:val="0"/>
              <w:spacing w:line="240" w:lineRule="atLeast"/>
              <w:jc w:val="center"/>
              <w:rPr>
                <w:rFonts w:ascii="仿宋_GB2312" w:hAnsi="仿宋_GB2312" w:eastAsia="仿宋_GB2312" w:cs="仿宋_GB2312"/>
                <w:color w:val="auto"/>
                <w:szCs w:val="21"/>
              </w:rPr>
            </w:pPr>
          </w:p>
        </w:tc>
        <w:tc>
          <w:tcPr>
            <w:tcW w:w="1372" w:type="dxa"/>
            <w:vAlign w:val="center"/>
          </w:tcPr>
          <w:p>
            <w:pPr>
              <w:topLinePunct/>
              <w:snapToGrid w:val="0"/>
              <w:spacing w:line="240" w:lineRule="atLeast"/>
              <w:jc w:val="center"/>
              <w:rPr>
                <w:rFonts w:ascii="仿宋_GB2312" w:hAnsi="仿宋_GB2312" w:eastAsia="仿宋_GB2312" w:cs="仿宋_GB2312"/>
                <w:color w:val="auto"/>
                <w:szCs w:val="21"/>
              </w:rPr>
            </w:pPr>
          </w:p>
        </w:tc>
        <w:tc>
          <w:tcPr>
            <w:tcW w:w="1587" w:type="dxa"/>
            <w:vAlign w:val="center"/>
          </w:tcPr>
          <w:p>
            <w:pPr>
              <w:topLinePunct/>
              <w:snapToGrid w:val="0"/>
              <w:spacing w:line="240" w:lineRule="atLeast"/>
              <w:jc w:val="center"/>
              <w:rPr>
                <w:rFonts w:ascii="仿宋_GB2312" w:hAnsi="仿宋_GB2312" w:eastAsia="仿宋_GB2312" w:cs="仿宋_GB2312"/>
                <w:color w:val="auto"/>
                <w:szCs w:val="21"/>
              </w:rPr>
            </w:pPr>
          </w:p>
        </w:tc>
        <w:tc>
          <w:tcPr>
            <w:tcW w:w="1037" w:type="dxa"/>
            <w:vAlign w:val="center"/>
          </w:tcPr>
          <w:p>
            <w:pPr>
              <w:topLinePunct/>
              <w:snapToGrid w:val="0"/>
              <w:spacing w:line="240" w:lineRule="atLeast"/>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36" w:type="dxa"/>
            <w:vAlign w:val="center"/>
          </w:tcPr>
          <w:p>
            <w:pPr>
              <w:topLinePunct/>
              <w:snapToGrid w:val="0"/>
              <w:spacing w:line="240" w:lineRule="atLeast"/>
              <w:jc w:val="center"/>
              <w:rPr>
                <w:rFonts w:ascii="仿宋_GB2312" w:hAnsi="仿宋_GB2312" w:eastAsia="仿宋_GB2312" w:cs="仿宋_GB2312"/>
                <w:color w:val="auto"/>
                <w:szCs w:val="21"/>
              </w:rPr>
            </w:pPr>
          </w:p>
        </w:tc>
        <w:tc>
          <w:tcPr>
            <w:tcW w:w="772" w:type="dxa"/>
            <w:vAlign w:val="center"/>
          </w:tcPr>
          <w:p>
            <w:pPr>
              <w:topLinePunct/>
              <w:snapToGrid w:val="0"/>
              <w:spacing w:line="240" w:lineRule="atLeast"/>
              <w:jc w:val="center"/>
              <w:rPr>
                <w:rFonts w:ascii="仿宋_GB2312" w:hAnsi="仿宋_GB2312" w:eastAsia="仿宋_GB2312" w:cs="仿宋_GB2312"/>
                <w:color w:val="auto"/>
                <w:szCs w:val="21"/>
              </w:rPr>
            </w:pPr>
          </w:p>
        </w:tc>
        <w:tc>
          <w:tcPr>
            <w:tcW w:w="1342" w:type="dxa"/>
            <w:vAlign w:val="center"/>
          </w:tcPr>
          <w:p>
            <w:pPr>
              <w:topLinePunct/>
              <w:snapToGrid w:val="0"/>
              <w:spacing w:line="240" w:lineRule="atLeast"/>
              <w:jc w:val="center"/>
              <w:rPr>
                <w:rFonts w:ascii="仿宋_GB2312" w:hAnsi="仿宋_GB2312" w:eastAsia="仿宋_GB2312" w:cs="仿宋_GB2312"/>
                <w:color w:val="auto"/>
                <w:szCs w:val="21"/>
              </w:rPr>
            </w:pPr>
          </w:p>
        </w:tc>
        <w:tc>
          <w:tcPr>
            <w:tcW w:w="1084" w:type="dxa"/>
            <w:vAlign w:val="center"/>
          </w:tcPr>
          <w:p>
            <w:pPr>
              <w:topLinePunct/>
              <w:snapToGrid w:val="0"/>
              <w:spacing w:line="240" w:lineRule="atLeast"/>
              <w:jc w:val="center"/>
              <w:rPr>
                <w:rFonts w:ascii="仿宋_GB2312" w:hAnsi="仿宋_GB2312" w:eastAsia="仿宋_GB2312" w:cs="仿宋_GB2312"/>
                <w:color w:val="auto"/>
                <w:szCs w:val="21"/>
              </w:rPr>
            </w:pPr>
          </w:p>
        </w:tc>
        <w:tc>
          <w:tcPr>
            <w:tcW w:w="1372" w:type="dxa"/>
            <w:vAlign w:val="center"/>
          </w:tcPr>
          <w:p>
            <w:pPr>
              <w:topLinePunct/>
              <w:snapToGrid w:val="0"/>
              <w:spacing w:line="240" w:lineRule="atLeast"/>
              <w:jc w:val="center"/>
              <w:rPr>
                <w:rFonts w:ascii="仿宋_GB2312" w:hAnsi="仿宋_GB2312" w:eastAsia="仿宋_GB2312" w:cs="仿宋_GB2312"/>
                <w:color w:val="auto"/>
                <w:szCs w:val="21"/>
              </w:rPr>
            </w:pPr>
          </w:p>
        </w:tc>
        <w:tc>
          <w:tcPr>
            <w:tcW w:w="1587" w:type="dxa"/>
            <w:vAlign w:val="center"/>
          </w:tcPr>
          <w:p>
            <w:pPr>
              <w:topLinePunct/>
              <w:snapToGrid w:val="0"/>
              <w:spacing w:line="240" w:lineRule="atLeast"/>
              <w:jc w:val="center"/>
              <w:rPr>
                <w:rFonts w:ascii="仿宋_GB2312" w:hAnsi="仿宋_GB2312" w:eastAsia="仿宋_GB2312" w:cs="仿宋_GB2312"/>
                <w:color w:val="auto"/>
                <w:szCs w:val="21"/>
              </w:rPr>
            </w:pPr>
          </w:p>
        </w:tc>
        <w:tc>
          <w:tcPr>
            <w:tcW w:w="1037" w:type="dxa"/>
            <w:vAlign w:val="center"/>
          </w:tcPr>
          <w:p>
            <w:pPr>
              <w:topLinePunct/>
              <w:snapToGrid w:val="0"/>
              <w:spacing w:line="240" w:lineRule="atLeast"/>
              <w:jc w:val="center"/>
              <w:rPr>
                <w:rFonts w:ascii="仿宋_GB2312" w:hAnsi="仿宋_GB2312" w:eastAsia="仿宋_GB2312" w:cs="仿宋_GB2312"/>
                <w:color w:val="auto"/>
                <w:szCs w:val="21"/>
              </w:rPr>
            </w:pPr>
          </w:p>
        </w:tc>
      </w:tr>
    </w:tbl>
    <w:p>
      <w:pPr>
        <w:spacing w:before="319" w:beforeLines="100" w:after="319" w:afterLines="100" w:line="480" w:lineRule="exact"/>
        <w:ind w:right="630" w:rightChars="300"/>
        <w:rPr>
          <w:rFonts w:ascii="仿宋_GB2312" w:hAnsi="仿宋_GB2312" w:eastAsia="仿宋_GB2312" w:cs="仿宋_GB2312"/>
          <w:b/>
          <w:color w:val="auto"/>
          <w:szCs w:val="21"/>
        </w:rPr>
      </w:pPr>
      <w:r>
        <w:rPr>
          <w:rFonts w:hint="eastAsia" w:ascii="仿宋_GB2312" w:hAnsi="仿宋_GB2312" w:eastAsia="仿宋_GB2312" w:cs="仿宋_GB2312"/>
          <w:color w:val="auto"/>
          <w:szCs w:val="21"/>
        </w:rPr>
        <w:t>本表后须附上述人员的身份证、职称证、资格证复印件</w:t>
      </w:r>
      <w:r>
        <w:rPr>
          <w:rFonts w:hint="eastAsia" w:ascii="仿宋_GB2312" w:hAnsi="仿宋_GB2312" w:eastAsia="仿宋_GB2312" w:cs="仿宋_GB2312"/>
          <w:color w:val="auto"/>
          <w:szCs w:val="21"/>
          <w:highlight w:val="none"/>
          <w:lang w:val="en-US" w:eastAsia="zh-CN"/>
        </w:rPr>
        <w:t>及评审要求中要求提供的其他证明文件</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rPr>
        <w:t>。</w:t>
      </w:r>
    </w:p>
    <w:p>
      <w:pPr>
        <w:spacing w:before="319" w:beforeLines="100" w:after="319" w:afterLines="100" w:line="480" w:lineRule="exact"/>
        <w:ind w:right="630" w:rightChars="300"/>
        <w:rPr>
          <w:rFonts w:ascii="仿宋_GB2312" w:hAnsi="仿宋_GB2312" w:eastAsia="仿宋_GB2312" w:cs="仿宋_GB2312"/>
          <w:b/>
          <w:color w:val="auto"/>
          <w:szCs w:val="21"/>
        </w:rPr>
      </w:pPr>
    </w:p>
    <w:p>
      <w:pPr>
        <w:spacing w:before="319" w:beforeLines="100" w:after="319" w:afterLines="100" w:line="480" w:lineRule="exact"/>
        <w:ind w:right="630" w:rightChars="3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br w:type="page"/>
      </w:r>
    </w:p>
    <w:p>
      <w:pPr>
        <w:pStyle w:val="3"/>
        <w:adjustRightInd w:val="0"/>
        <w:snapToGrid w:val="0"/>
        <w:spacing w:before="0" w:after="0" w:line="240" w:lineRule="auto"/>
        <w:jc w:val="left"/>
        <w:rPr>
          <w:rFonts w:ascii="仿宋_GB2312" w:hAnsi="仿宋_GB2312" w:eastAsia="仿宋_GB2312" w:cs="仿宋_GB2312"/>
          <w:color w:val="auto"/>
        </w:rPr>
      </w:pPr>
    </w:p>
    <w:p>
      <w:pPr>
        <w:spacing w:before="319" w:beforeLines="100" w:after="319" w:afterLines="100" w:line="360" w:lineRule="auto"/>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 参加招标活动前3年内在经营活动中没有重大违法记录的书面声明</w:t>
      </w:r>
    </w:p>
    <w:p>
      <w:pPr>
        <w:spacing w:line="360" w:lineRule="auto"/>
        <w:ind w:right="630" w:rightChars="300"/>
        <w:rPr>
          <w:rFonts w:ascii="仿宋_GB2312" w:hAnsi="仿宋_GB2312" w:eastAsia="仿宋_GB2312" w:cs="仿宋_GB2312"/>
          <w:b/>
          <w:color w:val="auto"/>
          <w:szCs w:val="21"/>
        </w:rPr>
      </w:pPr>
      <w:r>
        <w:rPr>
          <w:rFonts w:hint="eastAsia" w:ascii="仿宋_GB2312" w:hAnsi="仿宋_GB2312" w:eastAsia="仿宋_GB2312" w:cs="仿宋_GB2312"/>
          <w:b/>
          <w:color w:val="auto"/>
          <w:szCs w:val="21"/>
          <w:u w:val="single"/>
        </w:rPr>
        <w:t xml:space="preserve">（招标人名称） </w:t>
      </w:r>
      <w:r>
        <w:rPr>
          <w:rFonts w:hint="eastAsia" w:ascii="仿宋_GB2312" w:hAnsi="仿宋_GB2312" w:eastAsia="仿宋_GB2312" w:cs="仿宋_GB2312"/>
          <w:b/>
          <w:color w:val="auto"/>
          <w:szCs w:val="21"/>
        </w:rPr>
        <w:t xml:space="preserve"> ：</w:t>
      </w:r>
    </w:p>
    <w:p>
      <w:pPr>
        <w:spacing w:line="360" w:lineRule="auto"/>
        <w:ind w:right="-21" w:rightChars="-10" w:firstLine="493" w:firstLineChars="235"/>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在本项目提交投标文件截止时间前，我单位参加本次招标活动前3年内在经营活动中没有因违法经营受到刑事处罚或者责令停产停业、吊销许可证或者执照、较大数额罚款等行政处罚的重大违法记录；通过国家企业信用信息公示系统（网站：</w:t>
      </w:r>
      <w:r>
        <w:rPr>
          <w:rFonts w:hint="eastAsia" w:ascii="仿宋" w:hAnsi="仿宋" w:eastAsia="仿宋" w:cs="仿宋"/>
          <w:color w:val="auto"/>
          <w:szCs w:val="21"/>
        </w:rPr>
        <w:t>http://www.gsxt.gov.cn/</w:t>
      </w:r>
      <w:r>
        <w:rPr>
          <w:rFonts w:hint="eastAsia" w:ascii="仿宋_GB2312" w:hAnsi="仿宋_GB2312" w:eastAsia="仿宋_GB2312" w:cs="仿宋_GB2312"/>
          <w:color w:val="auto"/>
          <w:szCs w:val="21"/>
        </w:rPr>
        <w:t>）、“信用中国”(网站：www.creditchina.gov.cn/)等渠道查询，我单位未被列入严重违法失信企业名单、失信被执行人名单。</w:t>
      </w:r>
    </w:p>
    <w:p>
      <w:pPr>
        <w:tabs>
          <w:tab w:val="left" w:pos="10065"/>
        </w:tabs>
        <w:spacing w:line="360" w:lineRule="auto"/>
        <w:ind w:right="-21" w:rightChars="-10" w:firstLine="371" w:firstLineChars="177"/>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如发现我单位提供的声明函不实时，我单位将按照有关提供虚假材料的规定，接受处罚。</w:t>
      </w:r>
    </w:p>
    <w:p>
      <w:pPr>
        <w:spacing w:line="360" w:lineRule="auto"/>
        <w:ind w:right="1050" w:rightChars="50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特此声明。</w:t>
      </w:r>
    </w:p>
    <w:p>
      <w:pPr>
        <w:tabs>
          <w:tab w:val="left" w:pos="10065"/>
        </w:tabs>
        <w:spacing w:line="360" w:lineRule="auto"/>
        <w:ind w:right="-21" w:rightChars="-10" w:firstLine="371" w:firstLineChars="177"/>
        <w:rPr>
          <w:rFonts w:ascii="仿宋_GB2312" w:hAnsi="仿宋_GB2312" w:eastAsia="仿宋_GB2312" w:cs="仿宋_GB2312"/>
          <w:color w:val="auto"/>
          <w:szCs w:val="21"/>
        </w:rPr>
      </w:pPr>
    </w:p>
    <w:p>
      <w:pPr>
        <w:tabs>
          <w:tab w:val="left" w:pos="10065"/>
        </w:tabs>
        <w:spacing w:line="360" w:lineRule="auto"/>
        <w:ind w:right="-21" w:rightChars="-10" w:firstLine="371" w:firstLineChars="177"/>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附件：投标人在国家企业信用信息公示系统中未被列入严重违法失信企业名单、在“信用中国”网站中未被列入失信被执行人名单的网页截图复印件。</w:t>
      </w:r>
    </w:p>
    <w:p>
      <w:pPr>
        <w:spacing w:before="159" w:beforeLines="50" w:after="159" w:afterLines="50" w:line="400" w:lineRule="exact"/>
        <w:ind w:right="1050" w:rightChars="500" w:firstLine="420" w:firstLineChars="200"/>
        <w:rPr>
          <w:rFonts w:ascii="仿宋_GB2312" w:hAnsi="仿宋_GB2312" w:eastAsia="仿宋_GB2312" w:cs="仿宋_GB2312"/>
          <w:color w:val="auto"/>
          <w:szCs w:val="21"/>
        </w:rPr>
      </w:pPr>
    </w:p>
    <w:p>
      <w:pPr>
        <w:spacing w:line="360" w:lineRule="exact"/>
        <w:ind w:left="1050" w:leftChars="500" w:right="1050" w:rightChars="500" w:firstLine="420" w:firstLineChars="200"/>
        <w:rPr>
          <w:rFonts w:ascii="仿宋_GB2312" w:hAnsi="仿宋_GB2312" w:eastAsia="仿宋_GB2312" w:cs="仿宋_GB2312"/>
          <w:color w:val="auto"/>
          <w:szCs w:val="21"/>
        </w:rPr>
      </w:pPr>
    </w:p>
    <w:p>
      <w:pPr>
        <w:spacing w:line="480" w:lineRule="auto"/>
        <w:rPr>
          <w:rFonts w:ascii="仿宋_GB2312" w:hAnsi="仿宋_GB2312" w:eastAsia="仿宋_GB2312" w:cs="仿宋_GB2312"/>
          <w:color w:val="auto"/>
        </w:rPr>
      </w:pPr>
      <w:r>
        <w:rPr>
          <w:rFonts w:hint="eastAsia" w:ascii="仿宋_GB2312" w:hAnsi="仿宋_GB2312" w:eastAsia="仿宋_GB2312" w:cs="仿宋_GB2312"/>
          <w:color w:val="auto"/>
        </w:rPr>
        <w:t>投标人名称（加盖单位公章）：</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 xml:space="preserve">        </w:t>
      </w:r>
    </w:p>
    <w:p>
      <w:pPr>
        <w:spacing w:line="480" w:lineRule="auto"/>
        <w:rPr>
          <w:rFonts w:ascii="仿宋_GB2312" w:hAnsi="仿宋_GB2312" w:eastAsia="仿宋_GB2312" w:cs="仿宋_GB2312"/>
          <w:color w:val="auto"/>
        </w:rPr>
      </w:pPr>
      <w:r>
        <w:rPr>
          <w:rFonts w:hint="eastAsia" w:ascii="仿宋_GB2312" w:hAnsi="仿宋_GB2312" w:eastAsia="仿宋_GB2312" w:cs="仿宋_GB2312"/>
          <w:color w:val="auto"/>
        </w:rPr>
        <w:t>法定代表人</w:t>
      </w:r>
      <w:r>
        <w:rPr>
          <w:rFonts w:hint="eastAsia" w:ascii="仿宋_GB2312" w:hAnsi="仿宋_GB2312" w:eastAsia="仿宋_GB2312" w:cs="仿宋_GB2312"/>
          <w:color w:val="auto"/>
          <w:szCs w:val="21"/>
        </w:rPr>
        <w:t>或</w:t>
      </w:r>
      <w:r>
        <w:rPr>
          <w:rFonts w:hint="eastAsia" w:ascii="仿宋_GB2312" w:hAnsi="仿宋_GB2312" w:eastAsia="仿宋_GB2312" w:cs="仿宋_GB2312"/>
          <w:color w:val="auto"/>
        </w:rPr>
        <w:t>其授权委托人(签字或盖章)：</w:t>
      </w:r>
      <w:r>
        <w:rPr>
          <w:rFonts w:hint="eastAsia" w:ascii="仿宋_GB2312" w:hAnsi="仿宋_GB2312" w:eastAsia="仿宋_GB2312" w:cs="仿宋_GB2312"/>
          <w:color w:val="auto"/>
          <w:u w:val="single"/>
        </w:rPr>
        <w:t xml:space="preserve">          </w:t>
      </w:r>
    </w:p>
    <w:p>
      <w:pPr>
        <w:spacing w:line="480" w:lineRule="auto"/>
        <w:rPr>
          <w:rFonts w:ascii="仿宋_GB2312" w:hAnsi="仿宋_GB2312" w:eastAsia="仿宋_GB2312" w:cs="仿宋_GB2312"/>
          <w:color w:val="auto"/>
        </w:rPr>
      </w:pPr>
      <w:r>
        <w:rPr>
          <w:rFonts w:hint="eastAsia" w:ascii="仿宋_GB2312" w:hAnsi="仿宋_GB2312" w:eastAsia="仿宋_GB2312" w:cs="仿宋_GB2312"/>
          <w:color w:val="auto"/>
        </w:rPr>
        <w:t xml:space="preserve">日期： </w:t>
      </w:r>
      <w:r>
        <w:rPr>
          <w:rFonts w:hint="eastAsia" w:ascii="仿宋_GB2312" w:hAnsi="仿宋_GB2312" w:eastAsia="仿宋_GB2312" w:cs="仿宋_GB2312"/>
          <w:color w:val="auto"/>
          <w:u w:val="single"/>
        </w:rPr>
        <w:t xml:space="preserve">              </w:t>
      </w:r>
    </w:p>
    <w:p>
      <w:pPr>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br w:type="page"/>
      </w:r>
    </w:p>
    <w:p>
      <w:pPr>
        <w:pStyle w:val="3"/>
        <w:adjustRightInd w:val="0"/>
        <w:snapToGrid w:val="0"/>
        <w:spacing w:before="0" w:after="0" w:line="240" w:lineRule="auto"/>
        <w:jc w:val="left"/>
        <w:rPr>
          <w:rFonts w:ascii="仿宋_GB2312" w:hAnsi="仿宋_GB2312" w:eastAsia="仿宋_GB2312" w:cs="仿宋_GB2312"/>
          <w:color w:val="auto"/>
          <w:sz w:val="28"/>
          <w:szCs w:val="28"/>
        </w:rPr>
      </w:pPr>
    </w:p>
    <w:p>
      <w:pPr>
        <w:spacing w:before="319" w:beforeLines="100" w:after="319" w:afterLines="100" w:line="360" w:lineRule="auto"/>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 联合体协议书（如有）</w:t>
      </w:r>
    </w:p>
    <w:p>
      <w:pPr>
        <w:pStyle w:val="10"/>
        <w:spacing w:line="360" w:lineRule="auto"/>
        <w:rPr>
          <w:rFonts w:ascii="仿宋_GB2312" w:hAnsi="仿宋_GB2312" w:eastAsia="仿宋_GB2312" w:cs="仿宋_GB2312"/>
          <w:color w:val="auto"/>
        </w:rPr>
      </w:pPr>
      <w:r>
        <w:rPr>
          <w:rFonts w:hint="eastAsia" w:ascii="仿宋_GB2312" w:hAnsi="仿宋_GB2312" w:eastAsia="仿宋_GB2312" w:cs="仿宋_GB2312"/>
          <w:color w:val="auto"/>
        </w:rPr>
        <w:t>致</w:t>
      </w:r>
      <w:r>
        <w:rPr>
          <w:rFonts w:hint="eastAsia" w:ascii="仿宋_GB2312" w:hAnsi="仿宋_GB2312" w:eastAsia="仿宋_GB2312" w:cs="仿宋_GB2312"/>
          <w:color w:val="auto"/>
          <w:u w:val="single"/>
        </w:rPr>
        <w:t>(招标人)</w:t>
      </w:r>
      <w:r>
        <w:rPr>
          <w:rFonts w:hint="eastAsia" w:ascii="仿宋_GB2312" w:hAnsi="仿宋_GB2312" w:eastAsia="仿宋_GB2312" w:cs="仿宋_GB2312"/>
          <w:color w:val="auto"/>
        </w:rPr>
        <w:t>：</w:t>
      </w:r>
    </w:p>
    <w:p>
      <w:pPr>
        <w:pStyle w:val="10"/>
        <w:spacing w:line="360" w:lineRule="auto"/>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rPr>
        <w:t>经研究，我方决定自愿组成联合体共同参加</w:t>
      </w:r>
      <w:r>
        <w:rPr>
          <w:rFonts w:hint="eastAsia" w:ascii="仿宋_GB2312" w:hAnsi="仿宋_GB2312" w:eastAsia="仿宋_GB2312" w:cs="仿宋_GB2312"/>
          <w:color w:val="auto"/>
          <w:u w:val="single"/>
        </w:rPr>
        <w:t>(项目名称、包号)</w:t>
      </w:r>
      <w:r>
        <w:rPr>
          <w:rFonts w:hint="eastAsia" w:ascii="仿宋_GB2312" w:hAnsi="仿宋_GB2312" w:eastAsia="仿宋_GB2312" w:cs="仿宋_GB2312"/>
          <w:color w:val="auto"/>
        </w:rPr>
        <w:t>项目的询价。现就联合体参加招标活动事宜订立如下协议：</w:t>
      </w:r>
    </w:p>
    <w:p>
      <w:pPr>
        <w:pStyle w:val="10"/>
        <w:spacing w:line="360" w:lineRule="auto"/>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rPr>
        <w:t>一、联合体成员：</w:t>
      </w:r>
    </w:p>
    <w:p>
      <w:pPr>
        <w:pStyle w:val="10"/>
        <w:spacing w:line="360" w:lineRule="auto"/>
        <w:ind w:firstLine="420" w:firstLineChars="200"/>
        <w:rPr>
          <w:rFonts w:ascii="仿宋_GB2312" w:hAnsi="仿宋_GB2312" w:eastAsia="仿宋_GB2312" w:cs="仿宋_GB2312"/>
          <w:color w:val="auto"/>
          <w:u w:val="single"/>
        </w:rPr>
      </w:pPr>
      <w:r>
        <w:rPr>
          <w:rFonts w:hint="eastAsia" w:ascii="仿宋_GB2312" w:hAnsi="仿宋_GB2312" w:eastAsia="仿宋_GB2312" w:cs="仿宋_GB2312"/>
          <w:color w:val="auto"/>
        </w:rPr>
        <w:t>1.</w:t>
      </w:r>
      <w:r>
        <w:rPr>
          <w:rFonts w:hint="eastAsia" w:ascii="仿宋_GB2312" w:hAnsi="仿宋_GB2312" w:eastAsia="仿宋_GB2312" w:cs="仿宋_GB2312"/>
          <w:color w:val="auto"/>
          <w:u w:val="single"/>
        </w:rPr>
        <w:t xml:space="preserve">                  </w:t>
      </w:r>
    </w:p>
    <w:p>
      <w:pPr>
        <w:pStyle w:val="10"/>
        <w:spacing w:line="360" w:lineRule="auto"/>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rPr>
        <w:t>2.</w:t>
      </w:r>
      <w:r>
        <w:rPr>
          <w:rFonts w:hint="eastAsia" w:ascii="仿宋_GB2312" w:hAnsi="仿宋_GB2312" w:eastAsia="仿宋_GB2312" w:cs="仿宋_GB2312"/>
          <w:color w:val="auto"/>
          <w:u w:val="single"/>
        </w:rPr>
        <w:t xml:space="preserve">                  </w:t>
      </w:r>
    </w:p>
    <w:p>
      <w:pPr>
        <w:pStyle w:val="10"/>
        <w:spacing w:line="360" w:lineRule="auto"/>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rPr>
        <w:t>3.</w:t>
      </w:r>
      <w:r>
        <w:rPr>
          <w:rFonts w:hint="eastAsia" w:ascii="仿宋_GB2312" w:hAnsi="仿宋_GB2312" w:eastAsia="仿宋_GB2312" w:cs="仿宋_GB2312"/>
          <w:color w:val="auto"/>
          <w:u w:val="single"/>
        </w:rPr>
        <w:t xml:space="preserve">                  </w:t>
      </w:r>
    </w:p>
    <w:p>
      <w:pPr>
        <w:pStyle w:val="10"/>
        <w:spacing w:line="360" w:lineRule="auto"/>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rPr>
        <w:t>二、</w:t>
      </w:r>
      <w:r>
        <w:rPr>
          <w:rFonts w:hint="eastAsia" w:ascii="仿宋_GB2312" w:hAnsi="仿宋_GB2312" w:eastAsia="仿宋_GB2312" w:cs="仿宋_GB2312"/>
          <w:color w:val="auto"/>
          <w:u w:val="single"/>
        </w:rPr>
        <w:t>(某成员单位名称)</w:t>
      </w:r>
      <w:r>
        <w:rPr>
          <w:rFonts w:hint="eastAsia" w:ascii="仿宋_GB2312" w:hAnsi="仿宋_GB2312" w:eastAsia="仿宋_GB2312" w:cs="仿宋_GB2312"/>
          <w:color w:val="auto"/>
        </w:rPr>
        <w:t>为(联合体名称)牵头人。</w:t>
      </w:r>
    </w:p>
    <w:p>
      <w:pPr>
        <w:pStyle w:val="10"/>
        <w:spacing w:line="360" w:lineRule="auto"/>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rPr>
        <w:t>三、联合体牵头人合法代表联合体各成员负责本项目投标文件编制活动，代表联合体提交和接收相关的资料、信息及指示，并处理与询价或中标有关的一切事务；联合体中标后，联合体牵头人负责合同订立和合同实施阶段的主办、组织和协调工作。</w:t>
      </w:r>
    </w:p>
    <w:p>
      <w:pPr>
        <w:pStyle w:val="10"/>
        <w:spacing w:line="360" w:lineRule="auto"/>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rPr>
        <w:t>四、联合体将严格按照招标文件的各项要求，递交投标文件，参加询价，履行中标义务和中标后的合同，并向招标人承担连带责任。</w:t>
      </w:r>
    </w:p>
    <w:p>
      <w:pPr>
        <w:pStyle w:val="10"/>
        <w:spacing w:line="360" w:lineRule="auto"/>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rPr>
        <w:t>五、联合体各成员单位内部的职责分工如下：</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。按照本条上述分工，联合体成员单位各自所承担的合同工作量比例如下：</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w:t>
      </w:r>
    </w:p>
    <w:p>
      <w:pPr>
        <w:pStyle w:val="10"/>
        <w:spacing w:line="360" w:lineRule="auto"/>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rPr>
        <w:t>六、本协议书自签署之日起生效，合同履行完毕后自动失效。</w:t>
      </w:r>
    </w:p>
    <w:p>
      <w:pPr>
        <w:pStyle w:val="10"/>
        <w:spacing w:line="360" w:lineRule="auto"/>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rPr>
        <w:t>七、本协议书一式</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份，联合体成员和招标人各执</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份。</w:t>
      </w:r>
    </w:p>
    <w:p>
      <w:pPr>
        <w:pStyle w:val="10"/>
        <w:spacing w:line="360" w:lineRule="auto"/>
        <w:ind w:firstLine="420" w:firstLineChars="200"/>
        <w:rPr>
          <w:rFonts w:ascii="仿宋_GB2312" w:hAnsi="仿宋_GB2312" w:eastAsia="仿宋_GB2312" w:cs="仿宋_GB2312"/>
          <w:color w:val="auto"/>
        </w:rPr>
      </w:pPr>
    </w:p>
    <w:p>
      <w:pPr>
        <w:pStyle w:val="10"/>
        <w:spacing w:line="360" w:lineRule="auto"/>
        <w:rPr>
          <w:rFonts w:ascii="仿宋_GB2312" w:hAnsi="仿宋_GB2312" w:eastAsia="仿宋_GB2312" w:cs="仿宋_GB2312"/>
          <w:color w:val="auto"/>
          <w:u w:val="single"/>
        </w:rPr>
      </w:pPr>
      <w:r>
        <w:rPr>
          <w:rFonts w:hint="eastAsia" w:ascii="仿宋_GB2312" w:hAnsi="仿宋_GB2312" w:eastAsia="仿宋_GB2312" w:cs="仿宋_GB2312"/>
          <w:color w:val="auto"/>
        </w:rPr>
        <w:t>牵头人名称（加盖单位公章）：</w:t>
      </w:r>
      <w:r>
        <w:rPr>
          <w:rFonts w:hint="eastAsia" w:ascii="仿宋_GB2312" w:hAnsi="仿宋_GB2312" w:eastAsia="仿宋_GB2312" w:cs="仿宋_GB2312"/>
          <w:color w:val="auto"/>
          <w:u w:val="single"/>
        </w:rPr>
        <w:t xml:space="preserve">                         </w:t>
      </w:r>
    </w:p>
    <w:p>
      <w:pPr>
        <w:pStyle w:val="10"/>
        <w:spacing w:line="360" w:lineRule="auto"/>
        <w:rPr>
          <w:rFonts w:ascii="仿宋_GB2312" w:hAnsi="仿宋_GB2312" w:eastAsia="仿宋_GB2312" w:cs="仿宋_GB2312"/>
          <w:color w:val="auto"/>
          <w:u w:val="single"/>
        </w:rPr>
      </w:pPr>
      <w:r>
        <w:rPr>
          <w:rFonts w:hint="eastAsia" w:ascii="仿宋_GB2312" w:hAnsi="仿宋_GB2312" w:eastAsia="仿宋_GB2312" w:cs="仿宋_GB2312"/>
          <w:color w:val="auto"/>
        </w:rPr>
        <w:t>法定代表人或其授权委托人（签字或盖章）：</w:t>
      </w:r>
      <w:r>
        <w:rPr>
          <w:rFonts w:hint="eastAsia" w:ascii="仿宋_GB2312" w:hAnsi="仿宋_GB2312" w:eastAsia="仿宋_GB2312" w:cs="仿宋_GB2312"/>
          <w:color w:val="auto"/>
          <w:u w:val="single"/>
        </w:rPr>
        <w:t xml:space="preserve">               </w:t>
      </w:r>
    </w:p>
    <w:p>
      <w:pPr>
        <w:pStyle w:val="10"/>
        <w:spacing w:line="360" w:lineRule="auto"/>
        <w:rPr>
          <w:rFonts w:ascii="仿宋_GB2312" w:hAnsi="仿宋_GB2312" w:eastAsia="仿宋_GB2312" w:cs="仿宋_GB2312"/>
          <w:color w:val="auto"/>
        </w:rPr>
      </w:pPr>
    </w:p>
    <w:p>
      <w:pPr>
        <w:pStyle w:val="10"/>
        <w:spacing w:line="360" w:lineRule="auto"/>
        <w:rPr>
          <w:rFonts w:ascii="仿宋_GB2312" w:hAnsi="仿宋_GB2312" w:eastAsia="仿宋_GB2312" w:cs="仿宋_GB2312"/>
          <w:color w:val="auto"/>
          <w:u w:val="single"/>
        </w:rPr>
      </w:pPr>
      <w:r>
        <w:rPr>
          <w:rFonts w:hint="eastAsia" w:ascii="仿宋_GB2312" w:hAnsi="仿宋_GB2312" w:eastAsia="仿宋_GB2312" w:cs="仿宋_GB2312"/>
          <w:color w:val="auto"/>
        </w:rPr>
        <w:t>成员名称（加盖单位公章）：</w:t>
      </w:r>
      <w:r>
        <w:rPr>
          <w:rFonts w:hint="eastAsia" w:ascii="仿宋_GB2312" w:hAnsi="仿宋_GB2312" w:eastAsia="仿宋_GB2312" w:cs="仿宋_GB2312"/>
          <w:color w:val="auto"/>
          <w:u w:val="single"/>
        </w:rPr>
        <w:t xml:space="preserve">                          </w:t>
      </w:r>
    </w:p>
    <w:p>
      <w:pPr>
        <w:pStyle w:val="10"/>
        <w:spacing w:line="360" w:lineRule="auto"/>
        <w:rPr>
          <w:rFonts w:ascii="仿宋_GB2312" w:hAnsi="仿宋_GB2312" w:eastAsia="仿宋_GB2312" w:cs="仿宋_GB2312"/>
          <w:color w:val="auto"/>
          <w:u w:val="single"/>
        </w:rPr>
      </w:pPr>
      <w:r>
        <w:rPr>
          <w:rFonts w:hint="eastAsia" w:ascii="仿宋_GB2312" w:hAnsi="仿宋_GB2312" w:eastAsia="仿宋_GB2312" w:cs="仿宋_GB2312"/>
          <w:color w:val="auto"/>
        </w:rPr>
        <w:t>法定代表人或其授权委托人（签字或盖章）：</w:t>
      </w:r>
      <w:r>
        <w:rPr>
          <w:rFonts w:hint="eastAsia" w:ascii="仿宋_GB2312" w:hAnsi="仿宋_GB2312" w:eastAsia="仿宋_GB2312" w:cs="仿宋_GB2312"/>
          <w:color w:val="auto"/>
          <w:u w:val="single"/>
        </w:rPr>
        <w:t xml:space="preserve">              </w:t>
      </w:r>
    </w:p>
    <w:p>
      <w:pPr>
        <w:pStyle w:val="10"/>
        <w:spacing w:line="360" w:lineRule="auto"/>
        <w:rPr>
          <w:rFonts w:ascii="仿宋_GB2312" w:hAnsi="仿宋_GB2312" w:eastAsia="仿宋_GB2312" w:cs="仿宋_GB2312"/>
          <w:color w:val="auto"/>
        </w:rPr>
      </w:pPr>
      <w:r>
        <w:rPr>
          <w:rFonts w:hint="eastAsia" w:ascii="仿宋_GB2312" w:hAnsi="仿宋_GB2312" w:eastAsia="仿宋_GB2312" w:cs="仿宋_GB2312"/>
          <w:color w:val="auto"/>
        </w:rPr>
        <w:t>日  期：</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 xml:space="preserve"> </w:t>
      </w:r>
    </w:p>
    <w:p>
      <w:pPr>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rPr>
        <w:br w:type="page"/>
      </w:r>
    </w:p>
    <w:p>
      <w:pPr>
        <w:wordWrap w:val="0"/>
        <w:adjustRightInd w:val="0"/>
        <w:snapToGrid w:val="0"/>
        <w:spacing w:line="360" w:lineRule="auto"/>
        <w:ind w:right="105" w:rightChars="50" w:firstLine="420" w:firstLineChars="200"/>
        <w:rPr>
          <w:rFonts w:ascii="仿宋_GB2312" w:hAnsi="仿宋_GB2312" w:eastAsia="仿宋_GB2312" w:cs="仿宋_GB2312"/>
          <w:color w:val="auto"/>
          <w:szCs w:val="21"/>
          <w:u w:val="single"/>
        </w:rPr>
      </w:pPr>
    </w:p>
    <w:p>
      <w:pPr>
        <w:spacing w:before="319" w:beforeLines="100" w:after="319" w:afterLines="100" w:line="360" w:lineRule="auto"/>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投标人关联单位说明</w:t>
      </w: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说明：投标人应当如实披露与本单位存在下列关联关系的单位名称：</w:t>
      </w: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（1）与投标人单位法定代表人为同一人的其他单位；</w:t>
      </w: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（2）与投标人存在直接控股、管理关系的其他单位。</w:t>
      </w: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注：若无此情形，写“无”即可</w:t>
      </w: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p>
    <w:p>
      <w:pPr>
        <w:spacing w:line="480" w:lineRule="auto"/>
        <w:rPr>
          <w:rFonts w:ascii="仿宋_GB2312" w:hAnsi="仿宋_GB2312" w:eastAsia="仿宋_GB2312" w:cs="仿宋_GB2312"/>
          <w:color w:val="auto"/>
        </w:rPr>
      </w:pPr>
      <w:r>
        <w:rPr>
          <w:rFonts w:hint="eastAsia" w:ascii="仿宋_GB2312" w:hAnsi="仿宋_GB2312" w:eastAsia="仿宋_GB2312" w:cs="仿宋_GB2312"/>
          <w:color w:val="auto"/>
        </w:rPr>
        <w:t>投标人名称（加盖单位公章）：</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 xml:space="preserve">        </w:t>
      </w:r>
    </w:p>
    <w:p>
      <w:pPr>
        <w:spacing w:line="480" w:lineRule="auto"/>
        <w:rPr>
          <w:rFonts w:ascii="仿宋_GB2312" w:hAnsi="仿宋_GB2312" w:eastAsia="仿宋_GB2312" w:cs="仿宋_GB2312"/>
          <w:color w:val="auto"/>
        </w:rPr>
      </w:pPr>
      <w:r>
        <w:rPr>
          <w:rFonts w:hint="eastAsia" w:ascii="仿宋_GB2312" w:hAnsi="仿宋_GB2312" w:eastAsia="仿宋_GB2312" w:cs="仿宋_GB2312"/>
          <w:color w:val="auto"/>
        </w:rPr>
        <w:t>法定代表人</w:t>
      </w:r>
      <w:r>
        <w:rPr>
          <w:rFonts w:hint="eastAsia" w:ascii="仿宋_GB2312" w:hAnsi="仿宋_GB2312" w:eastAsia="仿宋_GB2312" w:cs="仿宋_GB2312"/>
          <w:color w:val="auto"/>
          <w:szCs w:val="21"/>
        </w:rPr>
        <w:t>或</w:t>
      </w:r>
      <w:r>
        <w:rPr>
          <w:rFonts w:hint="eastAsia" w:ascii="仿宋_GB2312" w:hAnsi="仿宋_GB2312" w:eastAsia="仿宋_GB2312" w:cs="仿宋_GB2312"/>
          <w:color w:val="auto"/>
        </w:rPr>
        <w:t>其授权委托人(签字或盖章)：</w:t>
      </w:r>
      <w:r>
        <w:rPr>
          <w:rFonts w:hint="eastAsia" w:ascii="仿宋_GB2312" w:hAnsi="仿宋_GB2312" w:eastAsia="仿宋_GB2312" w:cs="仿宋_GB2312"/>
          <w:color w:val="auto"/>
          <w:u w:val="single"/>
        </w:rPr>
        <w:t xml:space="preserve">           </w:t>
      </w:r>
    </w:p>
    <w:p>
      <w:pPr>
        <w:spacing w:line="480" w:lineRule="auto"/>
        <w:rPr>
          <w:rFonts w:ascii="仿宋_GB2312" w:hAnsi="仿宋_GB2312" w:eastAsia="仿宋_GB2312" w:cs="仿宋_GB2312"/>
          <w:color w:val="auto"/>
        </w:rPr>
      </w:pPr>
      <w:r>
        <w:rPr>
          <w:rFonts w:hint="eastAsia" w:ascii="仿宋_GB2312" w:hAnsi="仿宋_GB2312" w:eastAsia="仿宋_GB2312" w:cs="仿宋_GB2312"/>
          <w:color w:val="auto"/>
        </w:rPr>
        <w:t xml:space="preserve">日期： </w:t>
      </w:r>
      <w:r>
        <w:rPr>
          <w:rFonts w:hint="eastAsia" w:ascii="仿宋_GB2312" w:hAnsi="仿宋_GB2312" w:eastAsia="仿宋_GB2312" w:cs="仿宋_GB2312"/>
          <w:color w:val="auto"/>
          <w:u w:val="single"/>
        </w:rPr>
        <w:t xml:space="preserve">              </w:t>
      </w:r>
    </w:p>
    <w:p>
      <w:pPr>
        <w:adjustRightInd w:val="0"/>
        <w:snapToGrid w:val="0"/>
        <w:spacing w:line="360" w:lineRule="auto"/>
        <w:ind w:right="105" w:rightChars="50"/>
        <w:jc w:val="left"/>
        <w:rPr>
          <w:rFonts w:ascii="仿宋_GB2312" w:hAnsi="仿宋_GB2312" w:eastAsia="仿宋_GB2312" w:cs="仿宋_GB2312"/>
          <w:color w:val="auto"/>
          <w:szCs w:val="21"/>
        </w:rPr>
      </w:pPr>
    </w:p>
    <w:p>
      <w:pPr>
        <w:adjustRightInd w:val="0"/>
        <w:snapToGrid w:val="0"/>
        <w:spacing w:line="360" w:lineRule="auto"/>
        <w:ind w:right="105" w:rightChars="50"/>
        <w:jc w:val="left"/>
        <w:rPr>
          <w:rFonts w:ascii="仿宋_GB2312" w:hAnsi="仿宋_GB2312" w:eastAsia="仿宋_GB2312" w:cs="仿宋_GB2312"/>
          <w:color w:val="auto"/>
          <w:szCs w:val="21"/>
        </w:rPr>
      </w:pPr>
    </w:p>
    <w:p>
      <w:pPr>
        <w:adjustRightInd w:val="0"/>
        <w:snapToGrid w:val="0"/>
        <w:spacing w:line="360" w:lineRule="auto"/>
        <w:ind w:right="105" w:rightChars="50"/>
        <w:jc w:val="left"/>
        <w:rPr>
          <w:rFonts w:ascii="仿宋_GB2312" w:hAnsi="仿宋_GB2312" w:eastAsia="仿宋_GB2312" w:cs="仿宋_GB2312"/>
          <w:color w:val="auto"/>
          <w:szCs w:val="21"/>
        </w:rPr>
      </w:pPr>
    </w:p>
    <w:p>
      <w:pPr>
        <w:adjustRightInd w:val="0"/>
        <w:snapToGrid w:val="0"/>
        <w:spacing w:line="360" w:lineRule="auto"/>
        <w:ind w:right="105" w:rightChars="50"/>
        <w:jc w:val="left"/>
        <w:rPr>
          <w:rFonts w:ascii="仿宋_GB2312" w:hAnsi="仿宋_GB2312" w:eastAsia="仿宋_GB2312" w:cs="仿宋_GB2312"/>
          <w:color w:val="auto"/>
          <w:szCs w:val="21"/>
        </w:rPr>
      </w:pPr>
    </w:p>
    <w:p>
      <w:pPr>
        <w:adjustRightInd w:val="0"/>
        <w:snapToGrid w:val="0"/>
        <w:spacing w:line="360" w:lineRule="auto"/>
        <w:ind w:right="105" w:rightChars="50"/>
        <w:jc w:val="left"/>
        <w:rPr>
          <w:rFonts w:ascii="仿宋_GB2312" w:hAnsi="仿宋_GB2312" w:eastAsia="仿宋_GB2312" w:cs="仿宋_GB2312"/>
          <w:color w:val="auto"/>
          <w:szCs w:val="21"/>
        </w:rPr>
      </w:pPr>
    </w:p>
    <w:p>
      <w:pPr>
        <w:adjustRightInd w:val="0"/>
        <w:snapToGrid w:val="0"/>
        <w:spacing w:line="360" w:lineRule="auto"/>
        <w:ind w:right="105" w:rightChars="50"/>
        <w:jc w:val="left"/>
        <w:rPr>
          <w:rFonts w:ascii="仿宋_GB2312" w:hAnsi="仿宋_GB2312" w:eastAsia="仿宋_GB2312" w:cs="仿宋_GB2312"/>
          <w:color w:val="auto"/>
          <w:szCs w:val="21"/>
        </w:rPr>
      </w:pPr>
    </w:p>
    <w:p>
      <w:pPr>
        <w:adjustRightInd w:val="0"/>
        <w:snapToGrid w:val="0"/>
        <w:spacing w:line="360" w:lineRule="auto"/>
        <w:ind w:right="105" w:rightChars="50"/>
        <w:jc w:val="left"/>
        <w:rPr>
          <w:rFonts w:ascii="仿宋_GB2312" w:hAnsi="仿宋_GB2312" w:eastAsia="仿宋_GB2312" w:cs="仿宋_GB2312"/>
          <w:color w:val="auto"/>
          <w:szCs w:val="21"/>
        </w:rPr>
      </w:pPr>
    </w:p>
    <w:p>
      <w:pPr>
        <w:adjustRightInd w:val="0"/>
        <w:snapToGrid w:val="0"/>
        <w:spacing w:line="360" w:lineRule="auto"/>
        <w:ind w:right="105" w:rightChars="50"/>
        <w:jc w:val="left"/>
        <w:rPr>
          <w:rFonts w:ascii="仿宋_GB2312" w:hAnsi="仿宋_GB2312" w:eastAsia="仿宋_GB2312" w:cs="仿宋_GB2312"/>
          <w:color w:val="auto"/>
          <w:szCs w:val="21"/>
        </w:rPr>
      </w:pPr>
    </w:p>
    <w:p>
      <w:pPr>
        <w:adjustRightInd w:val="0"/>
        <w:snapToGrid w:val="0"/>
        <w:spacing w:line="360" w:lineRule="auto"/>
        <w:ind w:right="105" w:rightChars="50"/>
        <w:jc w:val="left"/>
        <w:rPr>
          <w:rFonts w:ascii="仿宋_GB2312" w:hAnsi="仿宋_GB2312" w:eastAsia="仿宋_GB2312" w:cs="仿宋_GB2312"/>
          <w:color w:val="auto"/>
          <w:szCs w:val="21"/>
        </w:rPr>
      </w:pPr>
    </w:p>
    <w:p>
      <w:pPr>
        <w:adjustRightInd w:val="0"/>
        <w:snapToGrid w:val="0"/>
        <w:spacing w:line="360" w:lineRule="auto"/>
        <w:ind w:right="105" w:rightChars="50"/>
        <w:jc w:val="left"/>
        <w:rPr>
          <w:rFonts w:ascii="仿宋_GB2312" w:hAnsi="仿宋_GB2312" w:eastAsia="仿宋_GB2312" w:cs="仿宋_GB2312"/>
          <w:color w:val="auto"/>
          <w:szCs w:val="21"/>
        </w:rPr>
      </w:pPr>
    </w:p>
    <w:p>
      <w:pPr>
        <w:adjustRightInd w:val="0"/>
        <w:snapToGrid w:val="0"/>
        <w:spacing w:line="360" w:lineRule="auto"/>
        <w:ind w:right="105" w:rightChars="50"/>
        <w:jc w:val="left"/>
        <w:rPr>
          <w:rFonts w:ascii="仿宋_GB2312" w:hAnsi="仿宋_GB2312" w:eastAsia="仿宋_GB2312" w:cs="仿宋_GB2312"/>
          <w:color w:val="auto"/>
          <w:szCs w:val="21"/>
        </w:rPr>
      </w:pPr>
    </w:p>
    <w:p>
      <w:pPr>
        <w:adjustRightInd w:val="0"/>
        <w:snapToGrid w:val="0"/>
        <w:spacing w:line="360" w:lineRule="auto"/>
        <w:ind w:right="105" w:rightChars="50"/>
        <w:jc w:val="left"/>
        <w:rPr>
          <w:rFonts w:ascii="仿宋_GB2312" w:hAnsi="仿宋_GB2312" w:eastAsia="仿宋_GB2312" w:cs="仿宋_GB2312"/>
          <w:color w:val="auto"/>
          <w:szCs w:val="21"/>
        </w:rPr>
      </w:pPr>
    </w:p>
    <w:p>
      <w:pPr>
        <w:adjustRightInd w:val="0"/>
        <w:snapToGrid w:val="0"/>
        <w:spacing w:line="360" w:lineRule="auto"/>
        <w:ind w:right="105" w:rightChars="50"/>
        <w:jc w:val="left"/>
        <w:rPr>
          <w:rFonts w:ascii="仿宋_GB2312" w:hAnsi="仿宋_GB2312" w:eastAsia="仿宋_GB2312" w:cs="仿宋_GB2312"/>
          <w:color w:val="auto"/>
          <w:szCs w:val="21"/>
        </w:rPr>
      </w:pPr>
    </w:p>
    <w:p>
      <w:pPr>
        <w:adjustRightInd w:val="0"/>
        <w:snapToGrid w:val="0"/>
        <w:spacing w:line="360" w:lineRule="auto"/>
        <w:ind w:right="105" w:rightChars="50"/>
        <w:jc w:val="left"/>
        <w:rPr>
          <w:rFonts w:ascii="仿宋_GB2312" w:hAnsi="仿宋_GB2312" w:eastAsia="仿宋_GB2312" w:cs="仿宋_GB2312"/>
          <w:color w:val="auto"/>
          <w:szCs w:val="21"/>
        </w:rPr>
      </w:pPr>
    </w:p>
    <w:p>
      <w:pPr>
        <w:adjustRightInd w:val="0"/>
        <w:snapToGrid w:val="0"/>
        <w:spacing w:line="360" w:lineRule="auto"/>
        <w:ind w:right="105" w:rightChars="5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br w:type="page"/>
      </w:r>
    </w:p>
    <w:p>
      <w:pPr>
        <w:pStyle w:val="3"/>
        <w:adjustRightInd w:val="0"/>
        <w:snapToGrid w:val="0"/>
        <w:spacing w:before="0" w:after="0" w:line="240" w:lineRule="auto"/>
        <w:jc w:val="left"/>
        <w:rPr>
          <w:rFonts w:ascii="仿宋_GB2312" w:hAnsi="仿宋_GB2312" w:eastAsia="仿宋_GB2312" w:cs="仿宋_GB2312"/>
          <w:color w:val="auto"/>
          <w:sz w:val="28"/>
          <w:szCs w:val="28"/>
        </w:rPr>
      </w:pPr>
    </w:p>
    <w:p>
      <w:pPr>
        <w:spacing w:before="319" w:beforeLines="100" w:after="319" w:afterLines="100" w:line="360" w:lineRule="auto"/>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反商业贿赂承诺书</w:t>
      </w:r>
    </w:p>
    <w:p>
      <w:pPr>
        <w:spacing w:line="480" w:lineRule="auto"/>
        <w:rPr>
          <w:rFonts w:ascii="仿宋_GB2312" w:hAnsi="仿宋_GB2312" w:eastAsia="仿宋_GB2312" w:cs="仿宋_GB2312"/>
          <w:color w:val="auto"/>
        </w:rPr>
      </w:pPr>
      <w:r>
        <w:rPr>
          <w:rFonts w:hint="eastAsia" w:ascii="仿宋_GB2312" w:hAnsi="仿宋_GB2312" w:eastAsia="仿宋_GB2312" w:cs="仿宋_GB2312"/>
          <w:color w:val="auto"/>
        </w:rPr>
        <w:t>我公司承诺：</w:t>
      </w: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在招标活动中，我公司保证做到：</w:t>
      </w: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一、公平竞争参加本次招标活动。</w:t>
      </w: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二、杜绝任何形式的商业贿赂行为。不向招标人工作人员、评审专家及其亲属提供礼品礼金、有价证券、购物券、回扣、佣金、咨询费、劳务费、赞助费、宣传费、宴请；不为其报销各种消费凭证，不支付其旅游、娱乐等费用。</w:t>
      </w: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三、若出现上述行为，我公司及参与询价的工作人员愿意接受按照国家法律法规等有关规定给予的处罚。</w:t>
      </w: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p>
    <w:p>
      <w:pPr>
        <w:spacing w:line="480" w:lineRule="auto"/>
        <w:rPr>
          <w:rFonts w:ascii="仿宋_GB2312" w:hAnsi="仿宋_GB2312" w:eastAsia="仿宋_GB2312" w:cs="仿宋_GB2312"/>
          <w:color w:val="auto"/>
        </w:rPr>
      </w:pPr>
      <w:r>
        <w:rPr>
          <w:rFonts w:hint="eastAsia" w:ascii="仿宋_GB2312" w:hAnsi="仿宋_GB2312" w:eastAsia="仿宋_GB2312" w:cs="仿宋_GB2312"/>
          <w:color w:val="auto"/>
        </w:rPr>
        <w:t>投标人名称（加盖单位公章）：</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 xml:space="preserve">        </w:t>
      </w:r>
    </w:p>
    <w:p>
      <w:pPr>
        <w:spacing w:line="480" w:lineRule="auto"/>
        <w:rPr>
          <w:rFonts w:ascii="仿宋_GB2312" w:hAnsi="仿宋_GB2312" w:eastAsia="仿宋_GB2312" w:cs="仿宋_GB2312"/>
          <w:color w:val="auto"/>
        </w:rPr>
      </w:pPr>
      <w:r>
        <w:rPr>
          <w:rFonts w:hint="eastAsia" w:ascii="仿宋_GB2312" w:hAnsi="仿宋_GB2312" w:eastAsia="仿宋_GB2312" w:cs="仿宋_GB2312"/>
          <w:color w:val="auto"/>
        </w:rPr>
        <w:t>法定代表人</w:t>
      </w:r>
      <w:r>
        <w:rPr>
          <w:rFonts w:hint="eastAsia" w:ascii="仿宋_GB2312" w:hAnsi="仿宋_GB2312" w:eastAsia="仿宋_GB2312" w:cs="仿宋_GB2312"/>
          <w:color w:val="auto"/>
          <w:szCs w:val="21"/>
        </w:rPr>
        <w:t>或</w:t>
      </w:r>
      <w:r>
        <w:rPr>
          <w:rFonts w:hint="eastAsia" w:ascii="仿宋_GB2312" w:hAnsi="仿宋_GB2312" w:eastAsia="仿宋_GB2312" w:cs="仿宋_GB2312"/>
          <w:color w:val="auto"/>
        </w:rPr>
        <w:t>其授权委托人(签字或盖章)：</w:t>
      </w:r>
      <w:r>
        <w:rPr>
          <w:rFonts w:hint="eastAsia" w:ascii="仿宋_GB2312" w:hAnsi="仿宋_GB2312" w:eastAsia="仿宋_GB2312" w:cs="仿宋_GB2312"/>
          <w:color w:val="auto"/>
          <w:u w:val="single"/>
        </w:rPr>
        <w:t xml:space="preserve">           </w:t>
      </w:r>
    </w:p>
    <w:p>
      <w:pPr>
        <w:spacing w:line="480" w:lineRule="auto"/>
        <w:rPr>
          <w:rFonts w:ascii="仿宋_GB2312" w:hAnsi="仿宋_GB2312" w:eastAsia="仿宋_GB2312" w:cs="仿宋_GB2312"/>
          <w:color w:val="auto"/>
        </w:rPr>
      </w:pPr>
      <w:r>
        <w:rPr>
          <w:rFonts w:hint="eastAsia" w:ascii="仿宋_GB2312" w:hAnsi="仿宋_GB2312" w:eastAsia="仿宋_GB2312" w:cs="仿宋_GB2312"/>
          <w:color w:val="auto"/>
        </w:rPr>
        <w:t xml:space="preserve">日期： </w:t>
      </w:r>
      <w:r>
        <w:rPr>
          <w:rFonts w:hint="eastAsia" w:ascii="仿宋_GB2312" w:hAnsi="仿宋_GB2312" w:eastAsia="仿宋_GB2312" w:cs="仿宋_GB2312"/>
          <w:color w:val="auto"/>
          <w:u w:val="single"/>
        </w:rPr>
        <w:t xml:space="preserve">              </w:t>
      </w: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br w:type="page"/>
      </w:r>
    </w:p>
    <w:p>
      <w:pPr>
        <w:pStyle w:val="3"/>
        <w:adjustRightInd w:val="0"/>
        <w:snapToGrid w:val="0"/>
        <w:spacing w:before="0" w:after="0" w:line="240" w:lineRule="auto"/>
        <w:jc w:val="left"/>
        <w:rPr>
          <w:rFonts w:ascii="仿宋_GB2312" w:hAnsi="仿宋_GB2312" w:eastAsia="仿宋_GB2312" w:cs="仿宋_GB2312"/>
          <w:color w:val="auto"/>
          <w:sz w:val="28"/>
          <w:szCs w:val="28"/>
        </w:rPr>
      </w:pPr>
    </w:p>
    <w:p>
      <w:pPr>
        <w:spacing w:before="319" w:beforeLines="100" w:after="319" w:afterLines="100" w:line="360" w:lineRule="auto"/>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类似项目业绩一览表</w:t>
      </w:r>
    </w:p>
    <w:p>
      <w:pPr>
        <w:rPr>
          <w:rFonts w:ascii="仿宋_GB2312" w:hAnsi="仿宋_GB2312" w:eastAsia="仿宋_GB2312" w:cs="仿宋_GB2312"/>
          <w:color w:val="auto"/>
          <w:szCs w:val="21"/>
        </w:rPr>
      </w:pPr>
    </w:p>
    <w:tbl>
      <w:tblPr>
        <w:tblStyle w:val="19"/>
        <w:tblW w:w="919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57"/>
        <w:gridCol w:w="2004"/>
        <w:gridCol w:w="1854"/>
        <w:gridCol w:w="1144"/>
        <w:gridCol w:w="1144"/>
        <w:gridCol w:w="1144"/>
        <w:gridCol w:w="114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tcBorders>
              <w:top w:val="single" w:color="auto" w:sz="4" w:space="0"/>
            </w:tcBorders>
            <w:vAlign w:val="center"/>
          </w:tcPr>
          <w:p>
            <w:pPr>
              <w:jc w:val="center"/>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序号</w:t>
            </w:r>
          </w:p>
        </w:tc>
        <w:tc>
          <w:tcPr>
            <w:tcW w:w="2004" w:type="dxa"/>
            <w:tcBorders>
              <w:right w:val="single" w:color="auto" w:sz="4" w:space="0"/>
            </w:tcBorders>
            <w:vAlign w:val="center"/>
          </w:tcPr>
          <w:p>
            <w:pPr>
              <w:jc w:val="center"/>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项目名称</w:t>
            </w:r>
          </w:p>
        </w:tc>
        <w:tc>
          <w:tcPr>
            <w:tcW w:w="1854" w:type="dxa"/>
            <w:tcBorders>
              <w:left w:val="single" w:color="auto" w:sz="4" w:space="0"/>
            </w:tcBorders>
            <w:vAlign w:val="center"/>
          </w:tcPr>
          <w:p>
            <w:pPr>
              <w:jc w:val="center"/>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合同名称</w:t>
            </w:r>
          </w:p>
        </w:tc>
        <w:tc>
          <w:tcPr>
            <w:tcW w:w="1144" w:type="dxa"/>
            <w:tcBorders>
              <w:right w:val="single" w:color="auto" w:sz="4" w:space="0"/>
            </w:tcBorders>
            <w:vAlign w:val="center"/>
          </w:tcPr>
          <w:p>
            <w:pPr>
              <w:jc w:val="center"/>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合同金额</w:t>
            </w:r>
          </w:p>
        </w:tc>
        <w:tc>
          <w:tcPr>
            <w:tcW w:w="1144" w:type="dxa"/>
            <w:tcBorders>
              <w:left w:val="single" w:color="auto" w:sz="4" w:space="0"/>
              <w:right w:val="single" w:color="auto" w:sz="4" w:space="0"/>
            </w:tcBorders>
            <w:vAlign w:val="center"/>
          </w:tcPr>
          <w:p>
            <w:pPr>
              <w:jc w:val="center"/>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合同签订日期</w:t>
            </w:r>
          </w:p>
        </w:tc>
        <w:tc>
          <w:tcPr>
            <w:tcW w:w="1144" w:type="dxa"/>
            <w:tcBorders>
              <w:left w:val="single" w:color="auto" w:sz="4" w:space="0"/>
              <w:right w:val="single" w:color="auto" w:sz="4" w:space="0"/>
            </w:tcBorders>
            <w:vAlign w:val="center"/>
          </w:tcPr>
          <w:p>
            <w:pPr>
              <w:jc w:val="center"/>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验收日期</w:t>
            </w:r>
          </w:p>
        </w:tc>
        <w:tc>
          <w:tcPr>
            <w:tcW w:w="1144" w:type="dxa"/>
            <w:tcBorders>
              <w:left w:val="single" w:color="auto" w:sz="4" w:space="0"/>
              <w:right w:val="single" w:color="auto" w:sz="4" w:space="0"/>
            </w:tcBorders>
            <w:vAlign w:val="center"/>
          </w:tcPr>
          <w:p>
            <w:pPr>
              <w:jc w:val="center"/>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ind w:firstLine="480"/>
              <w:rPr>
                <w:rFonts w:ascii="仿宋_GB2312" w:hAnsi="仿宋_GB2312" w:eastAsia="仿宋_GB2312" w:cs="仿宋_GB2312"/>
                <w:color w:val="auto"/>
                <w:szCs w:val="21"/>
              </w:rPr>
            </w:pPr>
          </w:p>
        </w:tc>
        <w:tc>
          <w:tcPr>
            <w:tcW w:w="2004" w:type="dxa"/>
            <w:tcBorders>
              <w:right w:val="single" w:color="auto" w:sz="4" w:space="0"/>
            </w:tcBorders>
            <w:vAlign w:val="center"/>
          </w:tcPr>
          <w:p>
            <w:pPr>
              <w:ind w:firstLine="480"/>
              <w:rPr>
                <w:rFonts w:ascii="仿宋_GB2312" w:hAnsi="仿宋_GB2312" w:eastAsia="仿宋_GB2312" w:cs="仿宋_GB2312"/>
                <w:color w:val="auto"/>
                <w:szCs w:val="21"/>
              </w:rPr>
            </w:pPr>
          </w:p>
        </w:tc>
        <w:tc>
          <w:tcPr>
            <w:tcW w:w="1854" w:type="dxa"/>
            <w:tcBorders>
              <w:left w:val="single" w:color="auto" w:sz="4" w:space="0"/>
            </w:tcBorders>
            <w:vAlign w:val="center"/>
          </w:tcPr>
          <w:p>
            <w:pPr>
              <w:ind w:firstLine="480"/>
              <w:rPr>
                <w:rFonts w:ascii="仿宋_GB2312" w:hAnsi="仿宋_GB2312" w:eastAsia="仿宋_GB2312" w:cs="仿宋_GB2312"/>
                <w:color w:val="auto"/>
                <w:szCs w:val="21"/>
              </w:rPr>
            </w:pPr>
          </w:p>
        </w:tc>
        <w:tc>
          <w:tcPr>
            <w:tcW w:w="1144" w:type="dxa"/>
            <w:tcBorders>
              <w:right w:val="single" w:color="auto" w:sz="4" w:space="0"/>
            </w:tcBorders>
            <w:vAlign w:val="center"/>
          </w:tcPr>
          <w:p>
            <w:pPr>
              <w:ind w:firstLine="480"/>
              <w:rPr>
                <w:rFonts w:ascii="仿宋_GB2312" w:hAnsi="仿宋_GB2312" w:eastAsia="仿宋_GB2312" w:cs="仿宋_GB2312"/>
                <w:color w:val="auto"/>
                <w:szCs w:val="21"/>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00" w:hRule="atLeast"/>
          <w:jc w:val="center"/>
        </w:trPr>
        <w:tc>
          <w:tcPr>
            <w:tcW w:w="757" w:type="dxa"/>
            <w:vAlign w:val="center"/>
          </w:tcPr>
          <w:p>
            <w:pPr>
              <w:ind w:firstLine="480"/>
              <w:rPr>
                <w:rFonts w:ascii="仿宋_GB2312" w:hAnsi="仿宋_GB2312" w:eastAsia="仿宋_GB2312" w:cs="仿宋_GB2312"/>
                <w:color w:val="auto"/>
                <w:szCs w:val="21"/>
              </w:rPr>
            </w:pPr>
          </w:p>
        </w:tc>
        <w:tc>
          <w:tcPr>
            <w:tcW w:w="2004" w:type="dxa"/>
            <w:tcBorders>
              <w:right w:val="single" w:color="auto" w:sz="4" w:space="0"/>
            </w:tcBorders>
            <w:vAlign w:val="center"/>
          </w:tcPr>
          <w:p>
            <w:pPr>
              <w:ind w:firstLine="480"/>
              <w:rPr>
                <w:rFonts w:ascii="仿宋_GB2312" w:hAnsi="仿宋_GB2312" w:eastAsia="仿宋_GB2312" w:cs="仿宋_GB2312"/>
                <w:color w:val="auto"/>
                <w:szCs w:val="21"/>
              </w:rPr>
            </w:pPr>
          </w:p>
        </w:tc>
        <w:tc>
          <w:tcPr>
            <w:tcW w:w="1854" w:type="dxa"/>
            <w:tcBorders>
              <w:left w:val="single" w:color="auto" w:sz="4" w:space="0"/>
            </w:tcBorders>
            <w:vAlign w:val="center"/>
          </w:tcPr>
          <w:p>
            <w:pPr>
              <w:ind w:firstLine="480"/>
              <w:rPr>
                <w:rFonts w:ascii="仿宋_GB2312" w:hAnsi="仿宋_GB2312" w:eastAsia="仿宋_GB2312" w:cs="仿宋_GB2312"/>
                <w:color w:val="auto"/>
                <w:szCs w:val="21"/>
              </w:rPr>
            </w:pPr>
          </w:p>
        </w:tc>
        <w:tc>
          <w:tcPr>
            <w:tcW w:w="1144" w:type="dxa"/>
            <w:tcBorders>
              <w:right w:val="single" w:color="auto" w:sz="4" w:space="0"/>
            </w:tcBorders>
            <w:vAlign w:val="center"/>
          </w:tcPr>
          <w:p>
            <w:pPr>
              <w:ind w:firstLine="480"/>
              <w:rPr>
                <w:rFonts w:ascii="仿宋_GB2312" w:hAnsi="仿宋_GB2312" w:eastAsia="仿宋_GB2312" w:cs="仿宋_GB2312"/>
                <w:color w:val="auto"/>
                <w:szCs w:val="21"/>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ind w:firstLine="480"/>
              <w:rPr>
                <w:rFonts w:ascii="仿宋_GB2312" w:hAnsi="仿宋_GB2312" w:eastAsia="仿宋_GB2312" w:cs="仿宋_GB2312"/>
                <w:color w:val="auto"/>
                <w:szCs w:val="21"/>
              </w:rPr>
            </w:pPr>
          </w:p>
        </w:tc>
        <w:tc>
          <w:tcPr>
            <w:tcW w:w="2004" w:type="dxa"/>
            <w:tcBorders>
              <w:right w:val="single" w:color="auto" w:sz="4" w:space="0"/>
            </w:tcBorders>
            <w:vAlign w:val="center"/>
          </w:tcPr>
          <w:p>
            <w:pPr>
              <w:ind w:firstLine="480"/>
              <w:rPr>
                <w:rFonts w:ascii="仿宋_GB2312" w:hAnsi="仿宋_GB2312" w:eastAsia="仿宋_GB2312" w:cs="仿宋_GB2312"/>
                <w:color w:val="auto"/>
                <w:szCs w:val="21"/>
              </w:rPr>
            </w:pPr>
          </w:p>
        </w:tc>
        <w:tc>
          <w:tcPr>
            <w:tcW w:w="1854" w:type="dxa"/>
            <w:tcBorders>
              <w:left w:val="single" w:color="auto" w:sz="4" w:space="0"/>
            </w:tcBorders>
            <w:vAlign w:val="center"/>
          </w:tcPr>
          <w:p>
            <w:pPr>
              <w:ind w:firstLine="480"/>
              <w:rPr>
                <w:rFonts w:ascii="仿宋_GB2312" w:hAnsi="仿宋_GB2312" w:eastAsia="仿宋_GB2312" w:cs="仿宋_GB2312"/>
                <w:color w:val="auto"/>
                <w:szCs w:val="21"/>
              </w:rPr>
            </w:pPr>
          </w:p>
        </w:tc>
        <w:tc>
          <w:tcPr>
            <w:tcW w:w="1144" w:type="dxa"/>
            <w:tcBorders>
              <w:right w:val="single" w:color="auto" w:sz="4" w:space="0"/>
            </w:tcBorders>
            <w:vAlign w:val="center"/>
          </w:tcPr>
          <w:p>
            <w:pPr>
              <w:ind w:firstLine="480"/>
              <w:rPr>
                <w:rFonts w:ascii="仿宋_GB2312" w:hAnsi="仿宋_GB2312" w:eastAsia="仿宋_GB2312" w:cs="仿宋_GB2312"/>
                <w:color w:val="auto"/>
                <w:szCs w:val="21"/>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ind w:firstLine="480"/>
              <w:rPr>
                <w:rFonts w:ascii="仿宋_GB2312" w:hAnsi="仿宋_GB2312" w:eastAsia="仿宋_GB2312" w:cs="仿宋_GB2312"/>
                <w:color w:val="auto"/>
                <w:szCs w:val="21"/>
              </w:rPr>
            </w:pPr>
          </w:p>
        </w:tc>
        <w:tc>
          <w:tcPr>
            <w:tcW w:w="200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rPr>
            </w:pPr>
          </w:p>
        </w:tc>
        <w:tc>
          <w:tcPr>
            <w:tcW w:w="1854" w:type="dxa"/>
            <w:tcBorders>
              <w:left w:val="single" w:color="auto" w:sz="4" w:space="0"/>
            </w:tcBorders>
            <w:vAlign w:val="center"/>
          </w:tcPr>
          <w:p>
            <w:pPr>
              <w:ind w:firstLine="480"/>
              <w:rPr>
                <w:rFonts w:ascii="仿宋_GB2312" w:hAnsi="仿宋_GB2312" w:eastAsia="仿宋_GB2312" w:cs="仿宋_GB2312"/>
                <w:color w:val="auto"/>
                <w:szCs w:val="21"/>
              </w:rPr>
            </w:pPr>
          </w:p>
        </w:tc>
        <w:tc>
          <w:tcPr>
            <w:tcW w:w="1144" w:type="dxa"/>
            <w:tcBorders>
              <w:right w:val="single" w:color="auto" w:sz="4" w:space="0"/>
            </w:tcBorders>
            <w:vAlign w:val="center"/>
          </w:tcPr>
          <w:p>
            <w:pPr>
              <w:ind w:firstLine="480"/>
              <w:rPr>
                <w:rFonts w:ascii="仿宋_GB2312" w:hAnsi="仿宋_GB2312" w:eastAsia="仿宋_GB2312" w:cs="仿宋_GB2312"/>
                <w:color w:val="auto"/>
                <w:szCs w:val="21"/>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tcBorders>
              <w:right w:val="single" w:color="auto" w:sz="4" w:space="0"/>
            </w:tcBorders>
            <w:vAlign w:val="center"/>
          </w:tcPr>
          <w:p>
            <w:pPr>
              <w:ind w:firstLine="480"/>
              <w:rPr>
                <w:rFonts w:ascii="仿宋_GB2312" w:hAnsi="仿宋_GB2312" w:eastAsia="仿宋_GB2312" w:cs="仿宋_GB2312"/>
                <w:color w:val="auto"/>
                <w:szCs w:val="21"/>
              </w:rPr>
            </w:pPr>
          </w:p>
        </w:tc>
        <w:tc>
          <w:tcPr>
            <w:tcW w:w="200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rPr>
            </w:pPr>
          </w:p>
        </w:tc>
        <w:tc>
          <w:tcPr>
            <w:tcW w:w="185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ind w:firstLine="480"/>
              <w:rPr>
                <w:rFonts w:ascii="仿宋_GB2312" w:hAnsi="仿宋_GB2312" w:eastAsia="仿宋_GB2312" w:cs="仿宋_GB2312"/>
                <w:color w:val="auto"/>
                <w:szCs w:val="21"/>
              </w:rPr>
            </w:pPr>
          </w:p>
        </w:tc>
        <w:tc>
          <w:tcPr>
            <w:tcW w:w="2004" w:type="dxa"/>
            <w:tcBorders>
              <w:right w:val="single" w:color="auto" w:sz="4" w:space="0"/>
            </w:tcBorders>
            <w:vAlign w:val="center"/>
          </w:tcPr>
          <w:p>
            <w:pPr>
              <w:ind w:firstLine="480"/>
              <w:rPr>
                <w:rFonts w:ascii="仿宋_GB2312" w:hAnsi="仿宋_GB2312" w:eastAsia="仿宋_GB2312" w:cs="仿宋_GB2312"/>
                <w:color w:val="auto"/>
                <w:szCs w:val="21"/>
              </w:rPr>
            </w:pPr>
          </w:p>
        </w:tc>
        <w:tc>
          <w:tcPr>
            <w:tcW w:w="1854" w:type="dxa"/>
            <w:tcBorders>
              <w:left w:val="single" w:color="auto" w:sz="4" w:space="0"/>
            </w:tcBorders>
            <w:vAlign w:val="center"/>
          </w:tcPr>
          <w:p>
            <w:pPr>
              <w:ind w:firstLine="480"/>
              <w:rPr>
                <w:rFonts w:ascii="仿宋_GB2312" w:hAnsi="仿宋_GB2312" w:eastAsia="仿宋_GB2312" w:cs="仿宋_GB2312"/>
                <w:color w:val="auto"/>
                <w:szCs w:val="21"/>
              </w:rPr>
            </w:pPr>
          </w:p>
        </w:tc>
        <w:tc>
          <w:tcPr>
            <w:tcW w:w="1144" w:type="dxa"/>
            <w:tcBorders>
              <w:right w:val="single" w:color="auto" w:sz="4" w:space="0"/>
            </w:tcBorders>
            <w:vAlign w:val="center"/>
          </w:tcPr>
          <w:p>
            <w:pPr>
              <w:ind w:firstLine="480"/>
              <w:rPr>
                <w:rFonts w:ascii="仿宋_GB2312" w:hAnsi="仿宋_GB2312" w:eastAsia="仿宋_GB2312" w:cs="仿宋_GB2312"/>
                <w:color w:val="auto"/>
                <w:szCs w:val="21"/>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ind w:firstLine="480"/>
              <w:rPr>
                <w:rFonts w:ascii="仿宋_GB2312" w:hAnsi="仿宋_GB2312" w:eastAsia="仿宋_GB2312" w:cs="仿宋_GB2312"/>
                <w:color w:val="auto"/>
                <w:szCs w:val="21"/>
              </w:rPr>
            </w:pPr>
          </w:p>
        </w:tc>
        <w:tc>
          <w:tcPr>
            <w:tcW w:w="2004" w:type="dxa"/>
            <w:tcBorders>
              <w:right w:val="single" w:color="auto" w:sz="4" w:space="0"/>
            </w:tcBorders>
            <w:vAlign w:val="center"/>
          </w:tcPr>
          <w:p>
            <w:pPr>
              <w:ind w:firstLine="480"/>
              <w:rPr>
                <w:rFonts w:ascii="仿宋_GB2312" w:hAnsi="仿宋_GB2312" w:eastAsia="仿宋_GB2312" w:cs="仿宋_GB2312"/>
                <w:color w:val="auto"/>
                <w:szCs w:val="21"/>
              </w:rPr>
            </w:pPr>
          </w:p>
        </w:tc>
        <w:tc>
          <w:tcPr>
            <w:tcW w:w="1854" w:type="dxa"/>
            <w:tcBorders>
              <w:left w:val="single" w:color="auto" w:sz="4" w:space="0"/>
            </w:tcBorders>
            <w:vAlign w:val="center"/>
          </w:tcPr>
          <w:p>
            <w:pPr>
              <w:ind w:firstLine="480"/>
              <w:rPr>
                <w:rFonts w:ascii="仿宋_GB2312" w:hAnsi="仿宋_GB2312" w:eastAsia="仿宋_GB2312" w:cs="仿宋_GB2312"/>
                <w:color w:val="auto"/>
                <w:szCs w:val="21"/>
              </w:rPr>
            </w:pPr>
          </w:p>
        </w:tc>
        <w:tc>
          <w:tcPr>
            <w:tcW w:w="1144" w:type="dxa"/>
            <w:tcBorders>
              <w:right w:val="single" w:color="auto" w:sz="4" w:space="0"/>
            </w:tcBorders>
            <w:vAlign w:val="center"/>
          </w:tcPr>
          <w:p>
            <w:pPr>
              <w:ind w:firstLine="480"/>
              <w:rPr>
                <w:rFonts w:ascii="仿宋_GB2312" w:hAnsi="仿宋_GB2312" w:eastAsia="仿宋_GB2312" w:cs="仿宋_GB2312"/>
                <w:color w:val="auto"/>
                <w:szCs w:val="21"/>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ind w:firstLine="480"/>
              <w:rPr>
                <w:rFonts w:ascii="仿宋_GB2312" w:hAnsi="仿宋_GB2312" w:eastAsia="仿宋_GB2312" w:cs="仿宋_GB2312"/>
                <w:color w:val="auto"/>
                <w:szCs w:val="21"/>
              </w:rPr>
            </w:pPr>
          </w:p>
        </w:tc>
        <w:tc>
          <w:tcPr>
            <w:tcW w:w="2004" w:type="dxa"/>
            <w:tcBorders>
              <w:right w:val="single" w:color="auto" w:sz="4" w:space="0"/>
            </w:tcBorders>
            <w:vAlign w:val="center"/>
          </w:tcPr>
          <w:p>
            <w:pPr>
              <w:ind w:firstLine="480"/>
              <w:rPr>
                <w:rFonts w:ascii="仿宋_GB2312" w:hAnsi="仿宋_GB2312" w:eastAsia="仿宋_GB2312" w:cs="仿宋_GB2312"/>
                <w:color w:val="auto"/>
                <w:szCs w:val="21"/>
              </w:rPr>
            </w:pPr>
          </w:p>
        </w:tc>
        <w:tc>
          <w:tcPr>
            <w:tcW w:w="1854" w:type="dxa"/>
            <w:tcBorders>
              <w:left w:val="single" w:color="auto" w:sz="4" w:space="0"/>
            </w:tcBorders>
            <w:vAlign w:val="center"/>
          </w:tcPr>
          <w:p>
            <w:pPr>
              <w:ind w:firstLine="480"/>
              <w:rPr>
                <w:rFonts w:ascii="仿宋_GB2312" w:hAnsi="仿宋_GB2312" w:eastAsia="仿宋_GB2312" w:cs="仿宋_GB2312"/>
                <w:color w:val="auto"/>
                <w:szCs w:val="21"/>
              </w:rPr>
            </w:pPr>
          </w:p>
        </w:tc>
        <w:tc>
          <w:tcPr>
            <w:tcW w:w="1144" w:type="dxa"/>
            <w:tcBorders>
              <w:right w:val="single" w:color="auto" w:sz="4" w:space="0"/>
            </w:tcBorders>
            <w:vAlign w:val="center"/>
          </w:tcPr>
          <w:p>
            <w:pPr>
              <w:ind w:firstLine="480"/>
              <w:rPr>
                <w:rFonts w:ascii="仿宋_GB2312" w:hAnsi="仿宋_GB2312" w:eastAsia="仿宋_GB2312" w:cs="仿宋_GB2312"/>
                <w:color w:val="auto"/>
                <w:szCs w:val="21"/>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rPr>
            </w:pPr>
          </w:p>
        </w:tc>
      </w:tr>
    </w:tbl>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p>
    <w:p>
      <w:pPr>
        <w:pStyle w:val="8"/>
        <w:spacing w:line="24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注：本表填列投标</w:t>
      </w:r>
      <w:r>
        <w:rPr>
          <w:rFonts w:hint="eastAsia" w:ascii="仿宋_GB2312" w:hAnsi="仿宋_GB2312" w:eastAsia="仿宋_GB2312" w:cs="仿宋_GB2312"/>
          <w:color w:val="auto"/>
          <w:szCs w:val="21"/>
          <w:highlight w:val="none"/>
        </w:rPr>
        <w:t>人在2020年6月1日后经验收合格的同类或类似业绩（同类或类似业绩是指人力资源管理咨询服务项目）。</w:t>
      </w: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p>
    <w:p>
      <w:pPr>
        <w:adjustRightInd w:val="0"/>
        <w:snapToGrid w:val="0"/>
        <w:spacing w:line="480" w:lineRule="auto"/>
        <w:ind w:right="105" w:rightChars="5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投标人名称（加盖单位公章）：</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 xml:space="preserve"> </w:t>
      </w:r>
    </w:p>
    <w:p>
      <w:pPr>
        <w:adjustRightInd w:val="0"/>
        <w:snapToGrid w:val="0"/>
        <w:spacing w:line="480" w:lineRule="auto"/>
        <w:ind w:right="105" w:rightChars="5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日 期：</w:t>
      </w:r>
      <w:r>
        <w:rPr>
          <w:rFonts w:hint="eastAsia" w:ascii="仿宋_GB2312" w:hAnsi="仿宋_GB2312" w:eastAsia="仿宋_GB2312" w:cs="仿宋_GB2312"/>
          <w:color w:val="auto"/>
          <w:szCs w:val="21"/>
          <w:u w:val="single"/>
        </w:rPr>
        <w:t xml:space="preserve">               </w:t>
      </w:r>
    </w:p>
    <w:p>
      <w:pPr>
        <w:pStyle w:val="9"/>
        <w:rPr>
          <w:color w:val="auto"/>
        </w:rPr>
      </w:pPr>
    </w:p>
    <w:p>
      <w:pPr>
        <w:rPr>
          <w:rFonts w:ascii="仿宋_GB2312" w:hAnsi="仿宋_GB2312" w:eastAsia="仿宋_GB2312" w:cs="仿宋_GB2312"/>
          <w:color w:val="auto"/>
          <w:szCs w:val="21"/>
        </w:rPr>
      </w:pPr>
      <w:r>
        <w:rPr>
          <w:rFonts w:hint="eastAsia" w:ascii="仿宋_GB2312" w:hAnsi="仿宋_GB2312" w:eastAsia="仿宋_GB2312" w:cs="仿宋_GB2312"/>
          <w:color w:val="auto"/>
          <w:szCs w:val="21"/>
        </w:rPr>
        <w:br w:type="page"/>
      </w:r>
    </w:p>
    <w:p>
      <w:pPr>
        <w:jc w:val="center"/>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类似项目情况表</w:t>
      </w:r>
    </w:p>
    <w:p>
      <w:pPr>
        <w:pStyle w:val="24"/>
        <w:rPr>
          <w:color w:val="auto"/>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4"/>
        <w:gridCol w:w="6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214" w:type="dxa"/>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序号</w:t>
            </w:r>
          </w:p>
        </w:tc>
        <w:tc>
          <w:tcPr>
            <w:tcW w:w="6402" w:type="dxa"/>
          </w:tcPr>
          <w:p>
            <w:pP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trPr>
        <w:tc>
          <w:tcPr>
            <w:tcW w:w="2214" w:type="dxa"/>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项目名称</w:t>
            </w:r>
          </w:p>
        </w:tc>
        <w:tc>
          <w:tcPr>
            <w:tcW w:w="6402" w:type="dxa"/>
          </w:tcPr>
          <w:p>
            <w:pP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214" w:type="dxa"/>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项目所在地</w:t>
            </w:r>
          </w:p>
        </w:tc>
        <w:tc>
          <w:tcPr>
            <w:tcW w:w="6402" w:type="dxa"/>
          </w:tcPr>
          <w:p>
            <w:pP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214" w:type="dxa"/>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发包人名称</w:t>
            </w:r>
          </w:p>
        </w:tc>
        <w:tc>
          <w:tcPr>
            <w:tcW w:w="6402" w:type="dxa"/>
          </w:tcPr>
          <w:p>
            <w:pP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214" w:type="dxa"/>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合同金额</w:t>
            </w:r>
          </w:p>
        </w:tc>
        <w:tc>
          <w:tcPr>
            <w:tcW w:w="6402" w:type="dxa"/>
          </w:tcPr>
          <w:p>
            <w:pP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214" w:type="dxa"/>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合同签订日期</w:t>
            </w:r>
          </w:p>
        </w:tc>
        <w:tc>
          <w:tcPr>
            <w:tcW w:w="6402" w:type="dxa"/>
          </w:tcPr>
          <w:p>
            <w:pP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214" w:type="dxa"/>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交工日期</w:t>
            </w:r>
          </w:p>
        </w:tc>
        <w:tc>
          <w:tcPr>
            <w:tcW w:w="6402" w:type="dxa"/>
          </w:tcPr>
          <w:p>
            <w:pP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3" w:hRule="atLeast"/>
        </w:trPr>
        <w:tc>
          <w:tcPr>
            <w:tcW w:w="2214" w:type="dxa"/>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承担的工作内容</w:t>
            </w:r>
          </w:p>
        </w:tc>
        <w:tc>
          <w:tcPr>
            <w:tcW w:w="6402" w:type="dxa"/>
          </w:tcPr>
          <w:p>
            <w:pP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验收质量评分或等级</w:t>
            </w:r>
          </w:p>
        </w:tc>
        <w:tc>
          <w:tcPr>
            <w:tcW w:w="6402" w:type="dxa"/>
          </w:tcPr>
          <w:p>
            <w:pP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214" w:type="dxa"/>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项目负责人</w:t>
            </w:r>
          </w:p>
        </w:tc>
        <w:tc>
          <w:tcPr>
            <w:tcW w:w="6402" w:type="dxa"/>
          </w:tcPr>
          <w:p>
            <w:pP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214" w:type="dxa"/>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项目技术负责人</w:t>
            </w:r>
          </w:p>
        </w:tc>
        <w:tc>
          <w:tcPr>
            <w:tcW w:w="6402" w:type="dxa"/>
          </w:tcPr>
          <w:p>
            <w:pP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214" w:type="dxa"/>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备注</w:t>
            </w:r>
          </w:p>
        </w:tc>
        <w:tc>
          <w:tcPr>
            <w:tcW w:w="6402" w:type="dxa"/>
          </w:tcPr>
          <w:p>
            <w:pPr>
              <w:rPr>
                <w:rFonts w:ascii="仿宋_GB2312" w:hAnsi="仿宋_GB2312" w:eastAsia="仿宋_GB2312" w:cs="仿宋_GB2312"/>
                <w:color w:val="auto"/>
                <w:szCs w:val="21"/>
              </w:rPr>
            </w:pPr>
          </w:p>
        </w:tc>
      </w:tr>
    </w:tbl>
    <w:p>
      <w:pP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注：1.每张表格只填写一个项目，并标明序号；</w:t>
      </w:r>
    </w:p>
    <w:p>
      <w:pPr>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本表后附该业绩中标通知书（如有）、合同协议书、验收或质量鉴定资料复印或扫描件；如投标人提供的上述资料无法证实投标人满足招标文件规定的资格审查条件（如有）或评审办法评分标准（如有）的，投标人可补充提供主管部门或项目业主出具的证明材料。</w:t>
      </w:r>
    </w:p>
    <w:p>
      <w:pPr>
        <w:ind w:firstLine="42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3.如近年来，投标人法人机构发生合法变更或重组或法人名称变更的，应提供相关部门的合法批件或其他相关证明材料来证明其所附业绩的继承性；</w:t>
      </w:r>
    </w:p>
    <w:p>
      <w:pPr>
        <w:ind w:firstLine="42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4.以联合体投标的，联合体各成员应分别填写。</w:t>
      </w:r>
      <w:r>
        <w:rPr>
          <w:rFonts w:hint="eastAsia" w:ascii="仿宋_GB2312" w:hAnsi="仿宋_GB2312" w:eastAsia="仿宋_GB2312" w:cs="仿宋_GB2312"/>
          <w:color w:val="auto"/>
          <w:szCs w:val="21"/>
        </w:rPr>
        <w:br w:type="page"/>
      </w:r>
    </w:p>
    <w:p>
      <w:pPr>
        <w:jc w:val="center"/>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实施方案</w:t>
      </w:r>
    </w:p>
    <w:p>
      <w:pP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rPr>
        <w:t xml:space="preserve">  投标人应按以下要点编制实施方案，契合项目实际，突出重点，抓住关键。</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具体内容请按照评审要求进行编制。</w:t>
      </w:r>
      <w:r>
        <w:rPr>
          <w:rFonts w:hint="eastAsia" w:ascii="仿宋_GB2312" w:hAnsi="仿宋_GB2312" w:eastAsia="仿宋_GB2312" w:cs="仿宋_GB2312"/>
          <w:color w:val="auto"/>
          <w:szCs w:val="21"/>
          <w:lang w:eastAsia="zh-CN"/>
        </w:rPr>
        <w:t>）</w:t>
      </w:r>
    </w:p>
    <w:p>
      <w:pPr>
        <w:rPr>
          <w:rFonts w:ascii="仿宋_GB2312" w:hAnsi="仿宋_GB2312" w:eastAsia="仿宋_GB2312" w:cs="仿宋_GB2312"/>
          <w:color w:val="auto"/>
          <w:szCs w:val="21"/>
        </w:rPr>
      </w:pPr>
    </w:p>
    <w:p>
      <w:pPr>
        <w:rPr>
          <w:rFonts w:ascii="仿宋_GB2312" w:hAnsi="仿宋_GB2312" w:eastAsia="仿宋_GB2312" w:cs="仿宋_GB2312"/>
          <w:color w:val="auto"/>
          <w:szCs w:val="21"/>
        </w:rPr>
      </w:pPr>
    </w:p>
    <w:p>
      <w:pPr>
        <w:rPr>
          <w:rFonts w:ascii="仿宋_GB2312" w:hAnsi="仿宋_GB2312" w:eastAsia="仿宋_GB2312" w:cs="仿宋_GB2312"/>
          <w:color w:val="auto"/>
          <w:sz w:val="28"/>
          <w:szCs w:val="28"/>
        </w:rPr>
      </w:pPr>
      <w:r>
        <w:rPr>
          <w:rFonts w:hint="eastAsia" w:ascii="仿宋_GB2312" w:hAnsi="仿宋_GB2312" w:eastAsia="仿宋_GB2312" w:cs="仿宋_GB2312"/>
          <w:color w:val="auto"/>
          <w:szCs w:val="21"/>
        </w:rPr>
        <w:t>1.</w:t>
      </w:r>
      <w:bookmarkStart w:id="24" w:name="_GoBack"/>
      <w:r>
        <w:rPr>
          <w:rFonts w:hint="eastAsia" w:ascii="仿宋_GB2312" w:hAnsi="仿宋_GB2312" w:eastAsia="仿宋_GB2312" w:cs="仿宋_GB2312"/>
          <w:color w:val="auto"/>
          <w:szCs w:val="21"/>
          <w:highlight w:val="none"/>
        </w:rPr>
        <w:t>XXXX</w:t>
      </w:r>
      <w:r>
        <w:rPr>
          <w:rStyle w:val="23"/>
          <w:rFonts w:hint="eastAsia" w:ascii="仿宋_GB2312" w:hAnsi="仿宋_GB2312" w:eastAsia="仿宋_GB2312" w:cs="仿宋_GB2312"/>
          <w:b/>
          <w:bCs/>
          <w:color w:val="auto"/>
          <w:sz w:val="28"/>
          <w:szCs w:val="28"/>
          <w:highlight w:val="none"/>
        </w:rPr>
        <w:footnoteReference w:id="4"/>
      </w:r>
      <w:bookmarkEnd w:id="24"/>
    </w:p>
    <w:p>
      <w:pP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w:t>
      </w:r>
      <w:r>
        <w:rPr>
          <w:rFonts w:hint="eastAsia" w:ascii="仿宋_GB2312" w:hAnsi="仿宋_GB2312" w:eastAsia="仿宋_GB2312" w:cs="仿宋_GB2312"/>
          <w:color w:val="auto"/>
          <w:szCs w:val="21"/>
        </w:rPr>
        <w:br w:type="page"/>
      </w:r>
    </w:p>
    <w:p>
      <w:pPr>
        <w:jc w:val="center"/>
        <w:rPr>
          <w:rFonts w:hint="default" w:ascii="仿宋_GB2312" w:hAnsi="仿宋_GB2312" w:eastAsia="仿宋_GB2312" w:cs="仿宋_GB2312"/>
          <w:b/>
          <w:bCs/>
          <w:color w:val="auto"/>
          <w:sz w:val="30"/>
          <w:szCs w:val="30"/>
          <w:highlight w:val="none"/>
          <w:lang w:val="en-US" w:eastAsia="zh-CN"/>
        </w:rPr>
      </w:pPr>
      <w:r>
        <w:rPr>
          <w:rFonts w:hint="eastAsia" w:ascii="仿宋_GB2312" w:hAnsi="仿宋_GB2312" w:eastAsia="仿宋_GB2312" w:cs="仿宋_GB2312"/>
          <w:b/>
          <w:bCs/>
          <w:color w:val="auto"/>
          <w:sz w:val="30"/>
          <w:szCs w:val="30"/>
          <w:highlight w:val="none"/>
          <w:lang w:val="en-US" w:eastAsia="zh-CN"/>
        </w:rPr>
        <w:t>技术商务偏离表</w:t>
      </w:r>
    </w:p>
    <w:p>
      <w:pP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 xml:space="preserve">  投标人应按招标人需求部分、合同部分自行编制</w:t>
      </w:r>
    </w:p>
    <w:p>
      <w:pPr>
        <w:rPr>
          <w:rFonts w:hint="eastAsia" w:ascii="仿宋_GB2312" w:hAnsi="仿宋_GB2312" w:eastAsia="仿宋_GB2312" w:cs="仿宋_GB2312"/>
          <w:color w:val="auto"/>
          <w:szCs w:val="21"/>
          <w:highlight w:val="none"/>
          <w:lang w:val="en-US" w:eastAsia="zh-CN"/>
        </w:rPr>
      </w:pPr>
    </w:p>
    <w:tbl>
      <w:tblPr>
        <w:tblStyle w:val="19"/>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114"/>
        <w:gridCol w:w="2456"/>
        <w:gridCol w:w="1896"/>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1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right="0" w:rightChars="0"/>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序号</w:t>
            </w:r>
          </w:p>
        </w:tc>
        <w:tc>
          <w:tcPr>
            <w:tcW w:w="211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right="0" w:rightChars="0"/>
              <w:jc w:val="center"/>
              <w:textAlignment w:val="auto"/>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招标文件要求</w:t>
            </w:r>
          </w:p>
        </w:tc>
        <w:tc>
          <w:tcPr>
            <w:tcW w:w="24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right="0" w:rightChars="0"/>
              <w:jc w:val="center"/>
              <w:textAlignment w:val="auto"/>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投标文件响应情况</w:t>
            </w:r>
          </w:p>
        </w:tc>
        <w:tc>
          <w:tcPr>
            <w:tcW w:w="189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right="0" w:rightChars="0"/>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偏离说明</w:t>
            </w:r>
          </w:p>
          <w:p>
            <w:pPr>
              <w:keepNext w:val="0"/>
              <w:keepLines w:val="0"/>
              <w:pageBreakBefore w:val="0"/>
              <w:widowControl w:val="0"/>
              <w:kinsoku/>
              <w:wordWrap/>
              <w:overflowPunct/>
              <w:topLinePunct w:val="0"/>
              <w:autoSpaceDE/>
              <w:autoSpaceDN/>
              <w:bidi w:val="0"/>
              <w:adjustRightInd/>
              <w:snapToGrid w:val="0"/>
              <w:spacing w:line="240" w:lineRule="atLeast"/>
              <w:ind w:right="0" w:rightChars="0"/>
              <w:jc w:val="center"/>
              <w:textAlignment w:val="auto"/>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（无偏离/负偏离）</w:t>
            </w: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right="0" w:rightChars="0"/>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36" w:type="dxa"/>
            <w:noWrap w:val="0"/>
            <w:vAlign w:val="center"/>
          </w:tcPr>
          <w:p>
            <w:pPr>
              <w:topLinePunct/>
              <w:snapToGrid w:val="0"/>
              <w:spacing w:line="240" w:lineRule="atLeast"/>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w:t>
            </w:r>
          </w:p>
        </w:tc>
        <w:tc>
          <w:tcPr>
            <w:tcW w:w="2114" w:type="dxa"/>
            <w:noWrap w:val="0"/>
            <w:vAlign w:val="center"/>
          </w:tcPr>
          <w:p>
            <w:pPr>
              <w:topLinePunct/>
              <w:snapToGrid w:val="0"/>
              <w:spacing w:line="240" w:lineRule="atLeast"/>
              <w:jc w:val="center"/>
              <w:rPr>
                <w:rFonts w:hint="eastAsia" w:ascii="仿宋_GB2312" w:hAnsi="仿宋_GB2312" w:eastAsia="仿宋_GB2312" w:cs="仿宋_GB2312"/>
                <w:color w:val="auto"/>
                <w:sz w:val="21"/>
                <w:szCs w:val="21"/>
                <w:highlight w:val="none"/>
              </w:rPr>
            </w:pPr>
          </w:p>
        </w:tc>
        <w:tc>
          <w:tcPr>
            <w:tcW w:w="2456" w:type="dxa"/>
            <w:noWrap w:val="0"/>
            <w:vAlign w:val="center"/>
          </w:tcPr>
          <w:p>
            <w:pPr>
              <w:topLinePunct/>
              <w:snapToGrid w:val="0"/>
              <w:spacing w:line="240" w:lineRule="atLeast"/>
              <w:jc w:val="center"/>
              <w:rPr>
                <w:rFonts w:hint="eastAsia" w:ascii="仿宋_GB2312" w:hAnsi="仿宋_GB2312" w:eastAsia="仿宋_GB2312" w:cs="仿宋_GB2312"/>
                <w:color w:val="auto"/>
                <w:sz w:val="21"/>
                <w:szCs w:val="21"/>
                <w:highlight w:val="none"/>
              </w:rPr>
            </w:pPr>
          </w:p>
        </w:tc>
        <w:tc>
          <w:tcPr>
            <w:tcW w:w="1896" w:type="dxa"/>
            <w:noWrap w:val="0"/>
            <w:vAlign w:val="center"/>
          </w:tcPr>
          <w:p>
            <w:pPr>
              <w:topLinePunct/>
              <w:snapToGrid w:val="0"/>
              <w:spacing w:line="240" w:lineRule="atLeast"/>
              <w:jc w:val="center"/>
              <w:rPr>
                <w:rFonts w:hint="eastAsia" w:ascii="仿宋_GB2312" w:hAnsi="仿宋_GB2312" w:eastAsia="仿宋_GB2312" w:cs="仿宋_GB2312"/>
                <w:color w:val="auto"/>
                <w:sz w:val="21"/>
                <w:szCs w:val="21"/>
                <w:highlight w:val="none"/>
              </w:rPr>
            </w:pPr>
          </w:p>
        </w:tc>
        <w:tc>
          <w:tcPr>
            <w:tcW w:w="728" w:type="dxa"/>
            <w:noWrap w:val="0"/>
            <w:vAlign w:val="center"/>
          </w:tcPr>
          <w:p>
            <w:pPr>
              <w:topLinePunct/>
              <w:snapToGrid w:val="0"/>
              <w:spacing w:line="240" w:lineRule="atLeast"/>
              <w:jc w:val="center"/>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36" w:type="dxa"/>
            <w:noWrap w:val="0"/>
            <w:vAlign w:val="center"/>
          </w:tcPr>
          <w:p>
            <w:pPr>
              <w:topLinePunct/>
              <w:snapToGrid w:val="0"/>
              <w:spacing w:line="240" w:lineRule="atLeast"/>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w:t>
            </w:r>
          </w:p>
        </w:tc>
        <w:tc>
          <w:tcPr>
            <w:tcW w:w="2114" w:type="dxa"/>
            <w:noWrap w:val="0"/>
            <w:vAlign w:val="center"/>
          </w:tcPr>
          <w:p>
            <w:pPr>
              <w:topLinePunct/>
              <w:snapToGrid w:val="0"/>
              <w:spacing w:line="240" w:lineRule="atLeast"/>
              <w:jc w:val="center"/>
              <w:rPr>
                <w:rFonts w:hint="eastAsia" w:ascii="仿宋_GB2312" w:hAnsi="仿宋_GB2312" w:eastAsia="仿宋_GB2312" w:cs="仿宋_GB2312"/>
                <w:color w:val="auto"/>
                <w:sz w:val="21"/>
                <w:szCs w:val="21"/>
                <w:highlight w:val="none"/>
              </w:rPr>
            </w:pPr>
          </w:p>
        </w:tc>
        <w:tc>
          <w:tcPr>
            <w:tcW w:w="2456" w:type="dxa"/>
            <w:noWrap w:val="0"/>
            <w:vAlign w:val="center"/>
          </w:tcPr>
          <w:p>
            <w:pPr>
              <w:topLinePunct/>
              <w:snapToGrid w:val="0"/>
              <w:spacing w:line="240" w:lineRule="atLeast"/>
              <w:jc w:val="center"/>
              <w:rPr>
                <w:rFonts w:hint="eastAsia" w:ascii="仿宋_GB2312" w:hAnsi="仿宋_GB2312" w:eastAsia="仿宋_GB2312" w:cs="仿宋_GB2312"/>
                <w:color w:val="auto"/>
                <w:sz w:val="21"/>
                <w:szCs w:val="21"/>
                <w:highlight w:val="none"/>
              </w:rPr>
            </w:pPr>
          </w:p>
        </w:tc>
        <w:tc>
          <w:tcPr>
            <w:tcW w:w="1896" w:type="dxa"/>
            <w:noWrap w:val="0"/>
            <w:vAlign w:val="center"/>
          </w:tcPr>
          <w:p>
            <w:pPr>
              <w:topLinePunct/>
              <w:snapToGrid w:val="0"/>
              <w:spacing w:line="240" w:lineRule="atLeast"/>
              <w:jc w:val="center"/>
              <w:rPr>
                <w:rFonts w:hint="eastAsia" w:ascii="仿宋_GB2312" w:hAnsi="仿宋_GB2312" w:eastAsia="仿宋_GB2312" w:cs="仿宋_GB2312"/>
                <w:color w:val="auto"/>
                <w:sz w:val="21"/>
                <w:szCs w:val="21"/>
                <w:highlight w:val="none"/>
              </w:rPr>
            </w:pPr>
          </w:p>
        </w:tc>
        <w:tc>
          <w:tcPr>
            <w:tcW w:w="728" w:type="dxa"/>
            <w:noWrap w:val="0"/>
            <w:vAlign w:val="center"/>
          </w:tcPr>
          <w:p>
            <w:pPr>
              <w:topLinePunct/>
              <w:snapToGrid w:val="0"/>
              <w:spacing w:line="240" w:lineRule="atLeast"/>
              <w:jc w:val="center"/>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36" w:type="dxa"/>
            <w:noWrap w:val="0"/>
            <w:vAlign w:val="center"/>
          </w:tcPr>
          <w:p>
            <w:pPr>
              <w:topLinePunct/>
              <w:snapToGrid w:val="0"/>
              <w:spacing w:line="240" w:lineRule="atLeast"/>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w:t>
            </w:r>
          </w:p>
        </w:tc>
        <w:tc>
          <w:tcPr>
            <w:tcW w:w="2114" w:type="dxa"/>
            <w:noWrap w:val="0"/>
            <w:vAlign w:val="center"/>
          </w:tcPr>
          <w:p>
            <w:pPr>
              <w:topLinePunct/>
              <w:snapToGrid w:val="0"/>
              <w:spacing w:line="240" w:lineRule="atLeast"/>
              <w:jc w:val="center"/>
              <w:rPr>
                <w:rFonts w:hint="eastAsia" w:ascii="仿宋_GB2312" w:hAnsi="仿宋_GB2312" w:eastAsia="仿宋_GB2312" w:cs="仿宋_GB2312"/>
                <w:color w:val="auto"/>
                <w:sz w:val="21"/>
                <w:szCs w:val="21"/>
                <w:highlight w:val="none"/>
              </w:rPr>
            </w:pPr>
          </w:p>
        </w:tc>
        <w:tc>
          <w:tcPr>
            <w:tcW w:w="2456" w:type="dxa"/>
            <w:noWrap w:val="0"/>
            <w:vAlign w:val="center"/>
          </w:tcPr>
          <w:p>
            <w:pPr>
              <w:topLinePunct/>
              <w:snapToGrid w:val="0"/>
              <w:spacing w:line="240" w:lineRule="atLeast"/>
              <w:jc w:val="center"/>
              <w:rPr>
                <w:rFonts w:hint="eastAsia" w:ascii="仿宋_GB2312" w:hAnsi="仿宋_GB2312" w:eastAsia="仿宋_GB2312" w:cs="仿宋_GB2312"/>
                <w:color w:val="auto"/>
                <w:sz w:val="21"/>
                <w:szCs w:val="21"/>
                <w:highlight w:val="none"/>
              </w:rPr>
            </w:pPr>
          </w:p>
        </w:tc>
        <w:tc>
          <w:tcPr>
            <w:tcW w:w="1896" w:type="dxa"/>
            <w:noWrap w:val="0"/>
            <w:vAlign w:val="center"/>
          </w:tcPr>
          <w:p>
            <w:pPr>
              <w:topLinePunct/>
              <w:snapToGrid w:val="0"/>
              <w:spacing w:line="240" w:lineRule="atLeast"/>
              <w:jc w:val="center"/>
              <w:rPr>
                <w:rFonts w:hint="eastAsia" w:ascii="仿宋_GB2312" w:hAnsi="仿宋_GB2312" w:eastAsia="仿宋_GB2312" w:cs="仿宋_GB2312"/>
                <w:color w:val="auto"/>
                <w:sz w:val="21"/>
                <w:szCs w:val="21"/>
                <w:highlight w:val="none"/>
              </w:rPr>
            </w:pPr>
          </w:p>
        </w:tc>
        <w:tc>
          <w:tcPr>
            <w:tcW w:w="728" w:type="dxa"/>
            <w:noWrap w:val="0"/>
            <w:vAlign w:val="center"/>
          </w:tcPr>
          <w:p>
            <w:pPr>
              <w:topLinePunct/>
              <w:snapToGrid w:val="0"/>
              <w:spacing w:line="240" w:lineRule="atLeast"/>
              <w:jc w:val="center"/>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36" w:type="dxa"/>
            <w:noWrap w:val="0"/>
            <w:vAlign w:val="center"/>
          </w:tcPr>
          <w:p>
            <w:pPr>
              <w:topLinePunct/>
              <w:snapToGrid w:val="0"/>
              <w:spacing w:line="240" w:lineRule="atLeast"/>
              <w:jc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w:t>
            </w:r>
          </w:p>
        </w:tc>
        <w:tc>
          <w:tcPr>
            <w:tcW w:w="2114" w:type="dxa"/>
            <w:noWrap w:val="0"/>
            <w:vAlign w:val="center"/>
          </w:tcPr>
          <w:p>
            <w:pPr>
              <w:topLinePunct/>
              <w:snapToGrid w:val="0"/>
              <w:spacing w:line="240" w:lineRule="atLeast"/>
              <w:jc w:val="center"/>
              <w:rPr>
                <w:rFonts w:hint="eastAsia" w:ascii="仿宋_GB2312" w:hAnsi="仿宋_GB2312" w:eastAsia="仿宋_GB2312" w:cs="仿宋_GB2312"/>
                <w:color w:val="auto"/>
                <w:sz w:val="21"/>
                <w:szCs w:val="21"/>
                <w:highlight w:val="none"/>
              </w:rPr>
            </w:pPr>
          </w:p>
        </w:tc>
        <w:tc>
          <w:tcPr>
            <w:tcW w:w="2456" w:type="dxa"/>
            <w:noWrap w:val="0"/>
            <w:vAlign w:val="center"/>
          </w:tcPr>
          <w:p>
            <w:pPr>
              <w:topLinePunct/>
              <w:snapToGrid w:val="0"/>
              <w:spacing w:line="240" w:lineRule="atLeast"/>
              <w:jc w:val="center"/>
              <w:rPr>
                <w:rFonts w:hint="eastAsia" w:ascii="仿宋_GB2312" w:hAnsi="仿宋_GB2312" w:eastAsia="仿宋_GB2312" w:cs="仿宋_GB2312"/>
                <w:color w:val="auto"/>
                <w:sz w:val="21"/>
                <w:szCs w:val="21"/>
                <w:highlight w:val="none"/>
              </w:rPr>
            </w:pPr>
          </w:p>
        </w:tc>
        <w:tc>
          <w:tcPr>
            <w:tcW w:w="1896" w:type="dxa"/>
            <w:noWrap w:val="0"/>
            <w:vAlign w:val="center"/>
          </w:tcPr>
          <w:p>
            <w:pPr>
              <w:topLinePunct/>
              <w:snapToGrid w:val="0"/>
              <w:spacing w:line="240" w:lineRule="atLeast"/>
              <w:jc w:val="center"/>
              <w:rPr>
                <w:rFonts w:hint="eastAsia" w:ascii="仿宋_GB2312" w:hAnsi="仿宋_GB2312" w:eastAsia="仿宋_GB2312" w:cs="仿宋_GB2312"/>
                <w:color w:val="auto"/>
                <w:sz w:val="21"/>
                <w:szCs w:val="21"/>
                <w:highlight w:val="none"/>
              </w:rPr>
            </w:pPr>
          </w:p>
        </w:tc>
        <w:tc>
          <w:tcPr>
            <w:tcW w:w="728" w:type="dxa"/>
            <w:noWrap w:val="0"/>
            <w:vAlign w:val="center"/>
          </w:tcPr>
          <w:p>
            <w:pPr>
              <w:topLinePunct/>
              <w:snapToGrid w:val="0"/>
              <w:spacing w:line="240" w:lineRule="atLeast"/>
              <w:jc w:val="center"/>
              <w:rPr>
                <w:rFonts w:hint="eastAsia" w:ascii="仿宋_GB2312" w:hAnsi="仿宋_GB2312" w:eastAsia="仿宋_GB2312" w:cs="仿宋_GB2312"/>
                <w:color w:val="auto"/>
                <w:sz w:val="21"/>
                <w:szCs w:val="21"/>
                <w:highlight w:val="none"/>
              </w:rPr>
            </w:pPr>
          </w:p>
        </w:tc>
      </w:tr>
    </w:tbl>
    <w:p>
      <w:pPr>
        <w:rPr>
          <w:rFonts w:hint="eastAsia" w:ascii="仿宋_GB2312" w:hAnsi="仿宋_GB2312" w:eastAsia="仿宋_GB2312" w:cs="仿宋_GB2312"/>
          <w:color w:val="auto"/>
          <w:szCs w:val="21"/>
          <w:highlight w:val="none"/>
        </w:rPr>
      </w:pPr>
    </w:p>
    <w:p>
      <w:pPr>
        <w:rPr>
          <w:rFonts w:hint="eastAsia" w:ascii="仿宋_GB2312" w:hAnsi="仿宋_GB2312" w:eastAsia="仿宋_GB2312" w:cs="仿宋_GB2312"/>
          <w:color w:val="auto"/>
          <w:szCs w:val="21"/>
          <w:highlight w:val="none"/>
        </w:rPr>
      </w:pPr>
    </w:p>
    <w:p>
      <w:pPr>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注：</w:t>
      </w:r>
      <w:r>
        <w:rPr>
          <w:rFonts w:hint="eastAsia" w:ascii="仿宋_GB2312" w:hAnsi="仿宋_GB2312" w:eastAsia="仿宋_GB2312" w:cs="仿宋_GB2312"/>
          <w:color w:val="auto"/>
          <w:szCs w:val="21"/>
          <w:highlight w:val="none"/>
          <w:lang w:val="en-US" w:eastAsia="zh-CN"/>
        </w:rPr>
        <w:t>本表可根据项目实际情况填写</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如提供空白的表格，则表示投标人对本项目技术商务部分完全响应。</w:t>
      </w:r>
    </w:p>
    <w:p>
      <w:pPr>
        <w:pStyle w:val="8"/>
        <w:spacing w:line="240" w:lineRule="auto"/>
        <w:rPr>
          <w:rFonts w:ascii="仿宋_GB2312" w:hAnsi="仿宋_GB2312" w:eastAsia="仿宋_GB2312" w:cs="仿宋_GB2312"/>
          <w:color w:val="auto"/>
          <w:szCs w:val="21"/>
          <w:highlight w:val="none"/>
        </w:rPr>
      </w:pPr>
    </w:p>
    <w:p>
      <w:pPr>
        <w:rPr>
          <w:rFonts w:hint="eastAsia" w:ascii="仿宋_GB2312" w:hAnsi="仿宋_GB2312" w:eastAsia="仿宋_GB2312" w:cs="仿宋_GB2312"/>
          <w:color w:val="auto"/>
          <w:szCs w:val="21"/>
          <w:highlight w:val="none"/>
        </w:rPr>
      </w:pPr>
    </w:p>
    <w:p>
      <w:pPr>
        <w:rPr>
          <w:rFonts w:hint="eastAsia" w:ascii="仿宋_GB2312" w:hAnsi="仿宋_GB2312" w:eastAsia="仿宋_GB2312" w:cs="仿宋_GB2312"/>
          <w:color w:val="auto"/>
          <w:szCs w:val="21"/>
          <w:highlight w:val="none"/>
        </w:rPr>
      </w:pPr>
    </w:p>
    <w:p>
      <w:pPr>
        <w:adjustRightInd w:val="0"/>
        <w:snapToGrid w:val="0"/>
        <w:spacing w:line="480" w:lineRule="auto"/>
        <w:ind w:right="105" w:rightChars="5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名称（加盖单位公章）：</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 xml:space="preserve"> </w:t>
      </w:r>
    </w:p>
    <w:p>
      <w:pPr>
        <w:adjustRightInd w:val="0"/>
        <w:snapToGrid w:val="0"/>
        <w:spacing w:line="480" w:lineRule="auto"/>
        <w:ind w:right="105" w:rightChars="5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日 期：</w:t>
      </w:r>
      <w:r>
        <w:rPr>
          <w:rFonts w:hint="eastAsia" w:ascii="仿宋_GB2312" w:hAnsi="仿宋_GB2312" w:eastAsia="仿宋_GB2312" w:cs="仿宋_GB2312"/>
          <w:color w:val="auto"/>
          <w:szCs w:val="21"/>
          <w:highlight w:val="none"/>
          <w:u w:val="single"/>
        </w:rPr>
        <w:t xml:space="preserve">               </w:t>
      </w:r>
    </w:p>
    <w:p>
      <w:pPr>
        <w:spacing w:before="319" w:beforeLines="100" w:after="319" w:afterLines="100" w:line="360" w:lineRule="auto"/>
        <w:jc w:val="center"/>
        <w:rPr>
          <w:rFonts w:hint="eastAsia" w:ascii="仿宋_GB2312" w:hAnsi="仿宋_GB2312" w:eastAsia="仿宋_GB2312" w:cs="仿宋_GB2312"/>
          <w:b/>
          <w:bCs/>
          <w:color w:val="auto"/>
          <w:sz w:val="32"/>
          <w:szCs w:val="32"/>
        </w:rPr>
      </w:pPr>
    </w:p>
    <w:p>
      <w:pPr>
        <w:spacing w:before="319" w:beforeLines="100" w:after="319" w:afterLines="100" w:line="360" w:lineRule="auto"/>
        <w:jc w:val="center"/>
        <w:rPr>
          <w:rFonts w:hint="eastAsia" w:ascii="仿宋_GB2312" w:hAnsi="仿宋_GB2312" w:eastAsia="仿宋_GB2312" w:cs="仿宋_GB2312"/>
          <w:b/>
          <w:bCs/>
          <w:color w:val="auto"/>
          <w:sz w:val="32"/>
          <w:szCs w:val="32"/>
        </w:rPr>
      </w:pPr>
    </w:p>
    <w:p>
      <w:pPr>
        <w:spacing w:before="319" w:beforeLines="100" w:after="319" w:afterLines="100" w:line="360" w:lineRule="auto"/>
        <w:jc w:val="center"/>
        <w:rPr>
          <w:rFonts w:hint="eastAsia" w:ascii="仿宋_GB2312" w:hAnsi="仿宋_GB2312" w:eastAsia="仿宋_GB2312" w:cs="仿宋_GB2312"/>
          <w:b/>
          <w:bCs/>
          <w:color w:val="auto"/>
          <w:sz w:val="32"/>
          <w:szCs w:val="32"/>
        </w:rPr>
      </w:pPr>
    </w:p>
    <w:p>
      <w:pPr>
        <w:spacing w:before="319" w:beforeLines="100" w:after="319" w:afterLines="100" w:line="360" w:lineRule="auto"/>
        <w:jc w:val="center"/>
        <w:rPr>
          <w:rFonts w:hint="eastAsia" w:ascii="仿宋_GB2312" w:hAnsi="仿宋_GB2312" w:eastAsia="仿宋_GB2312" w:cs="仿宋_GB2312"/>
          <w:b/>
          <w:bCs/>
          <w:color w:val="auto"/>
          <w:sz w:val="32"/>
          <w:szCs w:val="32"/>
        </w:rPr>
      </w:pPr>
    </w:p>
    <w:p>
      <w:pPr>
        <w:spacing w:before="319" w:beforeLines="100" w:after="319" w:afterLines="100" w:line="360" w:lineRule="auto"/>
        <w:jc w:val="center"/>
        <w:rPr>
          <w:rFonts w:hint="eastAsia" w:ascii="仿宋_GB2312" w:hAnsi="仿宋_GB2312" w:eastAsia="仿宋_GB2312" w:cs="仿宋_GB2312"/>
          <w:b/>
          <w:bCs/>
          <w:color w:val="auto"/>
          <w:sz w:val="32"/>
          <w:szCs w:val="32"/>
        </w:rPr>
      </w:pPr>
    </w:p>
    <w:p>
      <w:pPr>
        <w:spacing w:before="319" w:beforeLines="100" w:after="319" w:afterLines="100" w:line="360" w:lineRule="auto"/>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投标文件评审索引表</w:t>
      </w:r>
    </w:p>
    <w:p>
      <w:pPr>
        <w:rPr>
          <w:rFonts w:ascii="仿宋_GB2312" w:hAnsi="仿宋_GB2312" w:eastAsia="仿宋_GB2312" w:cs="仿宋_GB2312"/>
          <w:color w:val="auto"/>
          <w:szCs w:val="21"/>
        </w:rPr>
      </w:pPr>
    </w:p>
    <w:tbl>
      <w:tblPr>
        <w:tblStyle w:val="19"/>
        <w:tblW w:w="804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57"/>
        <w:gridCol w:w="3189"/>
        <w:gridCol w:w="1808"/>
        <w:gridCol w:w="1144"/>
        <w:gridCol w:w="114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tcBorders>
              <w:top w:val="single" w:color="auto" w:sz="4" w:space="0"/>
            </w:tcBorders>
            <w:vAlign w:val="center"/>
          </w:tcPr>
          <w:p>
            <w:pPr>
              <w:jc w:val="center"/>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序号</w:t>
            </w:r>
          </w:p>
        </w:tc>
        <w:tc>
          <w:tcPr>
            <w:tcW w:w="3189" w:type="dxa"/>
            <w:tcBorders>
              <w:right w:val="single" w:color="auto" w:sz="4" w:space="0"/>
            </w:tcBorders>
            <w:vAlign w:val="center"/>
          </w:tcPr>
          <w:p>
            <w:pPr>
              <w:jc w:val="center"/>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评审因素</w:t>
            </w:r>
          </w:p>
        </w:tc>
        <w:tc>
          <w:tcPr>
            <w:tcW w:w="1808" w:type="dxa"/>
            <w:tcBorders>
              <w:left w:val="single" w:color="auto" w:sz="4" w:space="0"/>
            </w:tcBorders>
            <w:vAlign w:val="center"/>
          </w:tcPr>
          <w:p>
            <w:pPr>
              <w:jc w:val="center"/>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满足评审情况说明</w:t>
            </w:r>
          </w:p>
        </w:tc>
        <w:tc>
          <w:tcPr>
            <w:tcW w:w="1144" w:type="dxa"/>
            <w:tcBorders>
              <w:right w:val="single" w:color="auto" w:sz="4" w:space="0"/>
            </w:tcBorders>
            <w:vAlign w:val="center"/>
          </w:tcPr>
          <w:p>
            <w:pPr>
              <w:jc w:val="center"/>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页码索引</w:t>
            </w:r>
          </w:p>
        </w:tc>
        <w:tc>
          <w:tcPr>
            <w:tcW w:w="1144" w:type="dxa"/>
            <w:tcBorders>
              <w:left w:val="single" w:color="auto" w:sz="4" w:space="0"/>
              <w:right w:val="single" w:color="auto" w:sz="4" w:space="0"/>
            </w:tcBorders>
            <w:vAlign w:val="center"/>
          </w:tcPr>
          <w:p>
            <w:pPr>
              <w:jc w:val="center"/>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ind w:firstLine="480"/>
              <w:rPr>
                <w:rFonts w:ascii="仿宋_GB2312" w:hAnsi="仿宋_GB2312" w:eastAsia="仿宋_GB2312" w:cs="仿宋_GB2312"/>
                <w:color w:val="auto"/>
                <w:szCs w:val="21"/>
              </w:rPr>
            </w:pPr>
          </w:p>
        </w:tc>
        <w:tc>
          <w:tcPr>
            <w:tcW w:w="3189" w:type="dxa"/>
            <w:tcBorders>
              <w:right w:val="single" w:color="auto" w:sz="4" w:space="0"/>
            </w:tcBorders>
            <w:vAlign w:val="center"/>
          </w:tcPr>
          <w:p>
            <w:pPr>
              <w:ind w:firstLine="480"/>
              <w:rPr>
                <w:rFonts w:ascii="仿宋_GB2312" w:hAnsi="仿宋_GB2312" w:eastAsia="仿宋_GB2312" w:cs="仿宋_GB2312"/>
                <w:color w:val="auto"/>
                <w:szCs w:val="21"/>
              </w:rPr>
            </w:pPr>
          </w:p>
        </w:tc>
        <w:tc>
          <w:tcPr>
            <w:tcW w:w="1808" w:type="dxa"/>
            <w:tcBorders>
              <w:left w:val="single" w:color="auto" w:sz="4" w:space="0"/>
            </w:tcBorders>
            <w:vAlign w:val="center"/>
          </w:tcPr>
          <w:p>
            <w:pPr>
              <w:ind w:firstLine="480"/>
              <w:rPr>
                <w:rFonts w:ascii="仿宋_GB2312" w:hAnsi="仿宋_GB2312" w:eastAsia="仿宋_GB2312" w:cs="仿宋_GB2312"/>
                <w:color w:val="auto"/>
                <w:szCs w:val="21"/>
              </w:rPr>
            </w:pPr>
          </w:p>
        </w:tc>
        <w:tc>
          <w:tcPr>
            <w:tcW w:w="1144" w:type="dxa"/>
            <w:tcBorders>
              <w:right w:val="single" w:color="auto" w:sz="4" w:space="0"/>
            </w:tcBorders>
            <w:vAlign w:val="center"/>
          </w:tcPr>
          <w:p>
            <w:pPr>
              <w:ind w:firstLine="480"/>
              <w:rPr>
                <w:rFonts w:ascii="仿宋_GB2312" w:hAnsi="仿宋_GB2312" w:eastAsia="仿宋_GB2312" w:cs="仿宋_GB2312"/>
                <w:color w:val="auto"/>
                <w:szCs w:val="21"/>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ind w:firstLine="480"/>
              <w:rPr>
                <w:rFonts w:ascii="仿宋_GB2312" w:hAnsi="仿宋_GB2312" w:eastAsia="仿宋_GB2312" w:cs="仿宋_GB2312"/>
                <w:color w:val="auto"/>
                <w:szCs w:val="21"/>
              </w:rPr>
            </w:pPr>
          </w:p>
        </w:tc>
        <w:tc>
          <w:tcPr>
            <w:tcW w:w="3189" w:type="dxa"/>
            <w:tcBorders>
              <w:right w:val="single" w:color="auto" w:sz="4" w:space="0"/>
            </w:tcBorders>
            <w:vAlign w:val="center"/>
          </w:tcPr>
          <w:p>
            <w:pPr>
              <w:ind w:firstLine="480"/>
              <w:rPr>
                <w:rFonts w:ascii="仿宋_GB2312" w:hAnsi="仿宋_GB2312" w:eastAsia="仿宋_GB2312" w:cs="仿宋_GB2312"/>
                <w:color w:val="auto"/>
                <w:szCs w:val="21"/>
              </w:rPr>
            </w:pPr>
          </w:p>
        </w:tc>
        <w:tc>
          <w:tcPr>
            <w:tcW w:w="1808" w:type="dxa"/>
            <w:tcBorders>
              <w:left w:val="single" w:color="auto" w:sz="4" w:space="0"/>
            </w:tcBorders>
            <w:vAlign w:val="center"/>
          </w:tcPr>
          <w:p>
            <w:pPr>
              <w:ind w:firstLine="480"/>
              <w:rPr>
                <w:rFonts w:ascii="仿宋_GB2312" w:hAnsi="仿宋_GB2312" w:eastAsia="仿宋_GB2312" w:cs="仿宋_GB2312"/>
                <w:color w:val="auto"/>
                <w:szCs w:val="21"/>
              </w:rPr>
            </w:pPr>
          </w:p>
        </w:tc>
        <w:tc>
          <w:tcPr>
            <w:tcW w:w="1144" w:type="dxa"/>
            <w:tcBorders>
              <w:right w:val="single" w:color="auto" w:sz="4" w:space="0"/>
            </w:tcBorders>
            <w:vAlign w:val="center"/>
          </w:tcPr>
          <w:p>
            <w:pPr>
              <w:ind w:firstLine="480"/>
              <w:rPr>
                <w:rFonts w:ascii="仿宋_GB2312" w:hAnsi="仿宋_GB2312" w:eastAsia="仿宋_GB2312" w:cs="仿宋_GB2312"/>
                <w:color w:val="auto"/>
                <w:szCs w:val="21"/>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ind w:firstLine="480"/>
              <w:rPr>
                <w:rFonts w:ascii="仿宋_GB2312" w:hAnsi="仿宋_GB2312" w:eastAsia="仿宋_GB2312" w:cs="仿宋_GB2312"/>
                <w:color w:val="auto"/>
                <w:szCs w:val="21"/>
              </w:rPr>
            </w:pPr>
          </w:p>
        </w:tc>
        <w:tc>
          <w:tcPr>
            <w:tcW w:w="3189" w:type="dxa"/>
            <w:tcBorders>
              <w:right w:val="single" w:color="auto" w:sz="4" w:space="0"/>
            </w:tcBorders>
            <w:vAlign w:val="center"/>
          </w:tcPr>
          <w:p>
            <w:pPr>
              <w:ind w:firstLine="480"/>
              <w:rPr>
                <w:rFonts w:ascii="仿宋_GB2312" w:hAnsi="仿宋_GB2312" w:eastAsia="仿宋_GB2312" w:cs="仿宋_GB2312"/>
                <w:color w:val="auto"/>
                <w:szCs w:val="21"/>
              </w:rPr>
            </w:pPr>
          </w:p>
        </w:tc>
        <w:tc>
          <w:tcPr>
            <w:tcW w:w="1808" w:type="dxa"/>
            <w:tcBorders>
              <w:left w:val="single" w:color="auto" w:sz="4" w:space="0"/>
            </w:tcBorders>
            <w:vAlign w:val="center"/>
          </w:tcPr>
          <w:p>
            <w:pPr>
              <w:ind w:firstLine="480"/>
              <w:rPr>
                <w:rFonts w:ascii="仿宋_GB2312" w:hAnsi="仿宋_GB2312" w:eastAsia="仿宋_GB2312" w:cs="仿宋_GB2312"/>
                <w:color w:val="auto"/>
                <w:szCs w:val="21"/>
              </w:rPr>
            </w:pPr>
          </w:p>
        </w:tc>
        <w:tc>
          <w:tcPr>
            <w:tcW w:w="1144" w:type="dxa"/>
            <w:tcBorders>
              <w:right w:val="single" w:color="auto" w:sz="4" w:space="0"/>
            </w:tcBorders>
            <w:vAlign w:val="center"/>
          </w:tcPr>
          <w:p>
            <w:pPr>
              <w:ind w:firstLine="480"/>
              <w:rPr>
                <w:rFonts w:ascii="仿宋_GB2312" w:hAnsi="仿宋_GB2312" w:eastAsia="仿宋_GB2312" w:cs="仿宋_GB2312"/>
                <w:color w:val="auto"/>
                <w:szCs w:val="21"/>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ind w:firstLine="480"/>
              <w:rPr>
                <w:rFonts w:ascii="仿宋_GB2312" w:hAnsi="仿宋_GB2312" w:eastAsia="仿宋_GB2312" w:cs="仿宋_GB2312"/>
                <w:color w:val="auto"/>
                <w:szCs w:val="21"/>
              </w:rPr>
            </w:pPr>
          </w:p>
        </w:tc>
        <w:tc>
          <w:tcPr>
            <w:tcW w:w="3189"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rPr>
            </w:pPr>
          </w:p>
        </w:tc>
        <w:tc>
          <w:tcPr>
            <w:tcW w:w="1808" w:type="dxa"/>
            <w:tcBorders>
              <w:left w:val="single" w:color="auto" w:sz="4" w:space="0"/>
            </w:tcBorders>
            <w:vAlign w:val="center"/>
          </w:tcPr>
          <w:p>
            <w:pPr>
              <w:ind w:firstLine="480"/>
              <w:rPr>
                <w:rFonts w:ascii="仿宋_GB2312" w:hAnsi="仿宋_GB2312" w:eastAsia="仿宋_GB2312" w:cs="仿宋_GB2312"/>
                <w:color w:val="auto"/>
                <w:szCs w:val="21"/>
              </w:rPr>
            </w:pPr>
          </w:p>
        </w:tc>
        <w:tc>
          <w:tcPr>
            <w:tcW w:w="1144" w:type="dxa"/>
            <w:tcBorders>
              <w:right w:val="single" w:color="auto" w:sz="4" w:space="0"/>
            </w:tcBorders>
            <w:vAlign w:val="center"/>
          </w:tcPr>
          <w:p>
            <w:pPr>
              <w:ind w:firstLine="480"/>
              <w:rPr>
                <w:rFonts w:ascii="仿宋_GB2312" w:hAnsi="仿宋_GB2312" w:eastAsia="仿宋_GB2312" w:cs="仿宋_GB2312"/>
                <w:color w:val="auto"/>
                <w:szCs w:val="21"/>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tcBorders>
              <w:right w:val="single" w:color="auto" w:sz="4" w:space="0"/>
            </w:tcBorders>
            <w:vAlign w:val="center"/>
          </w:tcPr>
          <w:p>
            <w:pPr>
              <w:ind w:firstLine="480"/>
              <w:rPr>
                <w:rFonts w:ascii="仿宋_GB2312" w:hAnsi="仿宋_GB2312" w:eastAsia="仿宋_GB2312" w:cs="仿宋_GB2312"/>
                <w:color w:val="auto"/>
                <w:szCs w:val="21"/>
              </w:rPr>
            </w:pPr>
          </w:p>
        </w:tc>
        <w:tc>
          <w:tcPr>
            <w:tcW w:w="3189"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rPr>
            </w:pPr>
          </w:p>
        </w:tc>
        <w:tc>
          <w:tcPr>
            <w:tcW w:w="1808"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ind w:firstLine="480"/>
              <w:rPr>
                <w:rFonts w:ascii="仿宋_GB2312" w:hAnsi="仿宋_GB2312" w:eastAsia="仿宋_GB2312" w:cs="仿宋_GB2312"/>
                <w:color w:val="auto"/>
                <w:szCs w:val="21"/>
              </w:rPr>
            </w:pPr>
          </w:p>
        </w:tc>
        <w:tc>
          <w:tcPr>
            <w:tcW w:w="3189" w:type="dxa"/>
            <w:tcBorders>
              <w:right w:val="single" w:color="auto" w:sz="4" w:space="0"/>
            </w:tcBorders>
            <w:vAlign w:val="center"/>
          </w:tcPr>
          <w:p>
            <w:pPr>
              <w:ind w:firstLine="480"/>
              <w:rPr>
                <w:rFonts w:ascii="仿宋_GB2312" w:hAnsi="仿宋_GB2312" w:eastAsia="仿宋_GB2312" w:cs="仿宋_GB2312"/>
                <w:color w:val="auto"/>
                <w:szCs w:val="21"/>
              </w:rPr>
            </w:pPr>
          </w:p>
        </w:tc>
        <w:tc>
          <w:tcPr>
            <w:tcW w:w="1808" w:type="dxa"/>
            <w:tcBorders>
              <w:left w:val="single" w:color="auto" w:sz="4" w:space="0"/>
            </w:tcBorders>
            <w:vAlign w:val="center"/>
          </w:tcPr>
          <w:p>
            <w:pPr>
              <w:ind w:firstLine="480"/>
              <w:rPr>
                <w:rFonts w:ascii="仿宋_GB2312" w:hAnsi="仿宋_GB2312" w:eastAsia="仿宋_GB2312" w:cs="仿宋_GB2312"/>
                <w:color w:val="auto"/>
                <w:szCs w:val="21"/>
              </w:rPr>
            </w:pPr>
          </w:p>
        </w:tc>
        <w:tc>
          <w:tcPr>
            <w:tcW w:w="1144" w:type="dxa"/>
            <w:tcBorders>
              <w:right w:val="single" w:color="auto" w:sz="4" w:space="0"/>
            </w:tcBorders>
            <w:vAlign w:val="center"/>
          </w:tcPr>
          <w:p>
            <w:pPr>
              <w:ind w:firstLine="480"/>
              <w:rPr>
                <w:rFonts w:ascii="仿宋_GB2312" w:hAnsi="仿宋_GB2312" w:eastAsia="仿宋_GB2312" w:cs="仿宋_GB2312"/>
                <w:color w:val="auto"/>
                <w:szCs w:val="21"/>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ind w:firstLine="480"/>
              <w:rPr>
                <w:rFonts w:ascii="仿宋_GB2312" w:hAnsi="仿宋_GB2312" w:eastAsia="仿宋_GB2312" w:cs="仿宋_GB2312"/>
                <w:color w:val="auto"/>
                <w:szCs w:val="21"/>
              </w:rPr>
            </w:pPr>
          </w:p>
        </w:tc>
        <w:tc>
          <w:tcPr>
            <w:tcW w:w="3189" w:type="dxa"/>
            <w:tcBorders>
              <w:right w:val="single" w:color="auto" w:sz="4" w:space="0"/>
            </w:tcBorders>
            <w:vAlign w:val="center"/>
          </w:tcPr>
          <w:p>
            <w:pPr>
              <w:ind w:firstLine="480"/>
              <w:rPr>
                <w:rFonts w:ascii="仿宋_GB2312" w:hAnsi="仿宋_GB2312" w:eastAsia="仿宋_GB2312" w:cs="仿宋_GB2312"/>
                <w:color w:val="auto"/>
                <w:szCs w:val="21"/>
              </w:rPr>
            </w:pPr>
          </w:p>
        </w:tc>
        <w:tc>
          <w:tcPr>
            <w:tcW w:w="1808" w:type="dxa"/>
            <w:tcBorders>
              <w:left w:val="single" w:color="auto" w:sz="4" w:space="0"/>
            </w:tcBorders>
            <w:vAlign w:val="center"/>
          </w:tcPr>
          <w:p>
            <w:pPr>
              <w:ind w:firstLine="480"/>
              <w:rPr>
                <w:rFonts w:ascii="仿宋_GB2312" w:hAnsi="仿宋_GB2312" w:eastAsia="仿宋_GB2312" w:cs="仿宋_GB2312"/>
                <w:color w:val="auto"/>
                <w:szCs w:val="21"/>
              </w:rPr>
            </w:pPr>
          </w:p>
        </w:tc>
        <w:tc>
          <w:tcPr>
            <w:tcW w:w="1144" w:type="dxa"/>
            <w:tcBorders>
              <w:right w:val="single" w:color="auto" w:sz="4" w:space="0"/>
            </w:tcBorders>
            <w:vAlign w:val="center"/>
          </w:tcPr>
          <w:p>
            <w:pPr>
              <w:ind w:firstLine="480"/>
              <w:rPr>
                <w:rFonts w:ascii="仿宋_GB2312" w:hAnsi="仿宋_GB2312" w:eastAsia="仿宋_GB2312" w:cs="仿宋_GB2312"/>
                <w:color w:val="auto"/>
                <w:szCs w:val="21"/>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ind w:firstLine="480"/>
              <w:rPr>
                <w:rFonts w:ascii="仿宋_GB2312" w:hAnsi="仿宋_GB2312" w:eastAsia="仿宋_GB2312" w:cs="仿宋_GB2312"/>
                <w:color w:val="auto"/>
                <w:szCs w:val="21"/>
              </w:rPr>
            </w:pPr>
          </w:p>
        </w:tc>
        <w:tc>
          <w:tcPr>
            <w:tcW w:w="3189" w:type="dxa"/>
            <w:tcBorders>
              <w:right w:val="single" w:color="auto" w:sz="4" w:space="0"/>
            </w:tcBorders>
            <w:vAlign w:val="center"/>
          </w:tcPr>
          <w:p>
            <w:pPr>
              <w:ind w:firstLine="480"/>
              <w:rPr>
                <w:rFonts w:ascii="仿宋_GB2312" w:hAnsi="仿宋_GB2312" w:eastAsia="仿宋_GB2312" w:cs="仿宋_GB2312"/>
                <w:color w:val="auto"/>
                <w:szCs w:val="21"/>
              </w:rPr>
            </w:pPr>
          </w:p>
        </w:tc>
        <w:tc>
          <w:tcPr>
            <w:tcW w:w="1808" w:type="dxa"/>
            <w:tcBorders>
              <w:left w:val="single" w:color="auto" w:sz="4" w:space="0"/>
            </w:tcBorders>
            <w:vAlign w:val="center"/>
          </w:tcPr>
          <w:p>
            <w:pPr>
              <w:ind w:firstLine="480"/>
              <w:rPr>
                <w:rFonts w:ascii="仿宋_GB2312" w:hAnsi="仿宋_GB2312" w:eastAsia="仿宋_GB2312" w:cs="仿宋_GB2312"/>
                <w:color w:val="auto"/>
                <w:szCs w:val="21"/>
              </w:rPr>
            </w:pPr>
          </w:p>
        </w:tc>
        <w:tc>
          <w:tcPr>
            <w:tcW w:w="1144" w:type="dxa"/>
            <w:tcBorders>
              <w:right w:val="single" w:color="auto" w:sz="4" w:space="0"/>
            </w:tcBorders>
            <w:vAlign w:val="center"/>
          </w:tcPr>
          <w:p>
            <w:pPr>
              <w:ind w:firstLine="480"/>
              <w:rPr>
                <w:rFonts w:ascii="仿宋_GB2312" w:hAnsi="仿宋_GB2312" w:eastAsia="仿宋_GB2312" w:cs="仿宋_GB2312"/>
                <w:color w:val="auto"/>
                <w:szCs w:val="21"/>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rPr>
            </w:pPr>
          </w:p>
        </w:tc>
      </w:tr>
    </w:tbl>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p>
    <w:p>
      <w:pPr>
        <w:pStyle w:val="8"/>
        <w:spacing w:line="240" w:lineRule="auto"/>
        <w:rPr>
          <w:rFonts w:ascii="仿宋_GB2312" w:hAnsi="仿宋_GB2312" w:eastAsia="仿宋_GB2312" w:cs="仿宋_GB2312"/>
          <w:color w:val="auto"/>
          <w:szCs w:val="21"/>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rPr>
      </w:pPr>
    </w:p>
    <w:p>
      <w:pPr>
        <w:adjustRightInd w:val="0"/>
        <w:snapToGrid w:val="0"/>
        <w:spacing w:line="480" w:lineRule="auto"/>
        <w:ind w:right="105" w:rightChars="5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投标人名称（加盖单位公章）：</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 xml:space="preserve"> </w:t>
      </w:r>
    </w:p>
    <w:p>
      <w:pPr>
        <w:adjustRightInd w:val="0"/>
        <w:snapToGrid w:val="0"/>
        <w:spacing w:line="480" w:lineRule="auto"/>
        <w:ind w:right="105" w:rightChars="5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日 期：</w:t>
      </w:r>
      <w:r>
        <w:rPr>
          <w:rFonts w:hint="eastAsia" w:ascii="仿宋_GB2312" w:hAnsi="仿宋_GB2312" w:eastAsia="仿宋_GB2312" w:cs="仿宋_GB2312"/>
          <w:color w:val="auto"/>
          <w:szCs w:val="21"/>
          <w:u w:val="single"/>
        </w:rPr>
        <w:t xml:space="preserve">               </w:t>
      </w:r>
    </w:p>
    <w:p>
      <w:pPr>
        <w:pStyle w:val="24"/>
        <w:ind w:firstLine="0"/>
        <w:rPr>
          <w:color w:val="auto"/>
        </w:rPr>
      </w:pPr>
    </w:p>
    <w:sectPr>
      <w:footerReference r:id="rId5" w:type="default"/>
      <w:footnotePr>
        <w:numRestart w:val="eachPage"/>
      </w:footnotePr>
      <w:pgSz w:w="11906" w:h="16838"/>
      <w:pgMar w:top="1440" w:right="17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33</w:t>
    </w:r>
    <w:r>
      <w:fldChar w:fldCharType="end"/>
    </w:r>
  </w:p>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pPr>
        <w:pStyle w:val="15"/>
        <w:spacing w:line="360" w:lineRule="auto"/>
      </w:pPr>
      <w:r>
        <w:rPr>
          <w:rStyle w:val="23"/>
        </w:rPr>
        <w:footnoteRef/>
      </w:r>
      <w:r>
        <w:t xml:space="preserve"> </w:t>
      </w:r>
      <w:r>
        <w:rPr>
          <w:rFonts w:hint="eastAsia"/>
        </w:rPr>
        <w:t>单位负责人是指单位的法定代表人或者法律、行政法规规定代表单位行使职权的主要负责人。</w:t>
      </w:r>
    </w:p>
  </w:footnote>
  <w:footnote w:id="1">
    <w:p>
      <w:pPr>
        <w:pStyle w:val="15"/>
        <w:spacing w:line="360" w:lineRule="auto"/>
      </w:pPr>
      <w:r>
        <w:rPr>
          <w:rStyle w:val="23"/>
        </w:rPr>
        <w:footnoteRef/>
      </w:r>
      <w:r>
        <w:t xml:space="preserve"> </w:t>
      </w:r>
      <w:r>
        <w:rPr>
          <w:rFonts w:hint="eastAsia"/>
        </w:rPr>
        <w:t>控股是指：股份占股份有限公司股本总额50%以上的绝对控股、相对控股或协议控股。</w:t>
      </w:r>
    </w:p>
  </w:footnote>
  <w:footnote w:id="2">
    <w:p>
      <w:pPr>
        <w:pStyle w:val="15"/>
        <w:spacing w:line="360" w:lineRule="auto"/>
      </w:pPr>
      <w:r>
        <w:rPr>
          <w:rStyle w:val="23"/>
        </w:rPr>
        <w:footnoteRef/>
      </w:r>
      <w:r>
        <w:t xml:space="preserve"> </w:t>
      </w:r>
      <w:r>
        <w:rPr>
          <w:rFonts w:hint="eastAsia"/>
        </w:rPr>
        <w:t>管理关系是指不具有出资持股关系的其他单位之间存在的管理关系与被管理关系。</w:t>
      </w:r>
    </w:p>
  </w:footnote>
  <w:footnote w:id="3">
    <w:p>
      <w:pPr>
        <w:pStyle w:val="15"/>
      </w:pPr>
      <w:r>
        <w:rPr>
          <w:rStyle w:val="23"/>
        </w:rPr>
        <w:footnoteRef/>
      </w:r>
      <w:r>
        <w:t xml:space="preserve"> </w:t>
      </w:r>
      <w:r>
        <w:rPr>
          <w:rFonts w:hint="eastAsia"/>
        </w:rPr>
        <w:t>本章第16.1款要求在递交投标文件截止时间前递交纸质投标文件的，投标人中标后无需再次提交。</w:t>
      </w:r>
    </w:p>
  </w:footnote>
  <w:footnote w:id="4">
    <w:p>
      <w:pPr>
        <w:pStyle w:val="15"/>
      </w:pPr>
      <w:r>
        <w:rPr>
          <w:rStyle w:val="23"/>
        </w:rPr>
        <w:footnoteRef/>
      </w:r>
      <w:r>
        <w:t xml:space="preserve"> </w:t>
      </w:r>
      <w:r>
        <w:rPr>
          <w:rFonts w:hint="eastAsia"/>
        </w:rPr>
        <w:t>招标人根据评审因素编写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9AD287"/>
    <w:multiLevelType w:val="singleLevel"/>
    <w:tmpl w:val="A19AD287"/>
    <w:lvl w:ilvl="0" w:tentative="0">
      <w:start w:val="1"/>
      <w:numFmt w:val="decimal"/>
      <w:suff w:val="nothing"/>
      <w:lvlText w:val="（%1）"/>
      <w:lvlJc w:val="left"/>
      <w:pPr>
        <w:ind w:left="210" w:firstLine="0"/>
      </w:pPr>
    </w:lvl>
  </w:abstractNum>
  <w:abstractNum w:abstractNumId="1">
    <w:nsid w:val="DFEFFF38"/>
    <w:multiLevelType w:val="singleLevel"/>
    <w:tmpl w:val="DFEFFF38"/>
    <w:lvl w:ilvl="0" w:tentative="0">
      <w:start w:val="6"/>
      <w:numFmt w:val="decimal"/>
      <w:suff w:val="nothing"/>
      <w:lvlText w:val="（%1）"/>
      <w:lvlJc w:val="left"/>
    </w:lvl>
  </w:abstractNum>
  <w:abstractNum w:abstractNumId="2">
    <w:nsid w:val="F647CFD7"/>
    <w:multiLevelType w:val="singleLevel"/>
    <w:tmpl w:val="F647CFD7"/>
    <w:lvl w:ilvl="0" w:tentative="0">
      <w:start w:val="1"/>
      <w:numFmt w:val="decimal"/>
      <w:lvlText w:val="%1."/>
      <w:lvlJc w:val="left"/>
      <w:pPr>
        <w:tabs>
          <w:tab w:val="left" w:pos="312"/>
        </w:tabs>
      </w:pPr>
    </w:lvl>
  </w:abstractNum>
  <w:abstractNum w:abstractNumId="3">
    <w:nsid w:val="27E8E525"/>
    <w:multiLevelType w:val="singleLevel"/>
    <w:tmpl w:val="27E8E525"/>
    <w:lvl w:ilvl="0" w:tentative="0">
      <w:start w:val="1"/>
      <w:numFmt w:val="decimal"/>
      <w:suff w:val="nothing"/>
      <w:lvlText w:val="（%1）"/>
      <w:lvlJc w:val="left"/>
    </w:lvl>
  </w:abstractNum>
  <w:abstractNum w:abstractNumId="4">
    <w:nsid w:val="7D72619C"/>
    <w:multiLevelType w:val="multilevel"/>
    <w:tmpl w:val="7D72619C"/>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trackRevisions w:val="1"/>
  <w:documentProtection w:enforcement="0"/>
  <w:defaultTabStop w:val="420"/>
  <w:drawingGridVerticalSpacing w:val="156"/>
  <w:noPunctuationKerning w:val="1"/>
  <w:characterSpacingControl w:val="compressPunctuation"/>
  <w:footnotePr>
    <w:footnote w:id="10"/>
    <w:footnote w:id="1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5ZmM3ZDA3MjNlMWQwNzFiNjE4NDJjNjM5Y2YwYTQifQ=="/>
  </w:docVars>
  <w:rsids>
    <w:rsidRoot w:val="34E02B63"/>
    <w:rsid w:val="00043144"/>
    <w:rsid w:val="000D7B38"/>
    <w:rsid w:val="002226FD"/>
    <w:rsid w:val="00362036"/>
    <w:rsid w:val="003A4DB8"/>
    <w:rsid w:val="003D0404"/>
    <w:rsid w:val="003D4663"/>
    <w:rsid w:val="004D066F"/>
    <w:rsid w:val="005214EA"/>
    <w:rsid w:val="0055651A"/>
    <w:rsid w:val="0059115B"/>
    <w:rsid w:val="00591EE5"/>
    <w:rsid w:val="00621C19"/>
    <w:rsid w:val="007137B7"/>
    <w:rsid w:val="00733E26"/>
    <w:rsid w:val="00812D14"/>
    <w:rsid w:val="00883F7A"/>
    <w:rsid w:val="008B73C2"/>
    <w:rsid w:val="008F6B89"/>
    <w:rsid w:val="008F6EB2"/>
    <w:rsid w:val="009C512B"/>
    <w:rsid w:val="00A40483"/>
    <w:rsid w:val="00AE30B0"/>
    <w:rsid w:val="00B46918"/>
    <w:rsid w:val="00BC57CD"/>
    <w:rsid w:val="00CA613C"/>
    <w:rsid w:val="00D42B17"/>
    <w:rsid w:val="00DA538B"/>
    <w:rsid w:val="00E7736A"/>
    <w:rsid w:val="00EB1C0E"/>
    <w:rsid w:val="00F907CF"/>
    <w:rsid w:val="0119556C"/>
    <w:rsid w:val="0131560C"/>
    <w:rsid w:val="014A2DD9"/>
    <w:rsid w:val="017A36FD"/>
    <w:rsid w:val="017E2A82"/>
    <w:rsid w:val="01863B5B"/>
    <w:rsid w:val="018A1427"/>
    <w:rsid w:val="018A7679"/>
    <w:rsid w:val="019D092B"/>
    <w:rsid w:val="01AD54AD"/>
    <w:rsid w:val="01AF466F"/>
    <w:rsid w:val="01BF5575"/>
    <w:rsid w:val="01C42B8B"/>
    <w:rsid w:val="01D7130E"/>
    <w:rsid w:val="01DF2FD2"/>
    <w:rsid w:val="01E35F07"/>
    <w:rsid w:val="01E66FA5"/>
    <w:rsid w:val="01E93D5F"/>
    <w:rsid w:val="01E943A0"/>
    <w:rsid w:val="01EB4B9B"/>
    <w:rsid w:val="01F571E8"/>
    <w:rsid w:val="01F84CEE"/>
    <w:rsid w:val="02013704"/>
    <w:rsid w:val="0213141D"/>
    <w:rsid w:val="021A09FD"/>
    <w:rsid w:val="022E0D6C"/>
    <w:rsid w:val="02510197"/>
    <w:rsid w:val="02581525"/>
    <w:rsid w:val="02647AB9"/>
    <w:rsid w:val="026B3007"/>
    <w:rsid w:val="026E2AF7"/>
    <w:rsid w:val="027345B1"/>
    <w:rsid w:val="02832A46"/>
    <w:rsid w:val="02922C74"/>
    <w:rsid w:val="029307AF"/>
    <w:rsid w:val="02AD361F"/>
    <w:rsid w:val="02B30F4C"/>
    <w:rsid w:val="02B96468"/>
    <w:rsid w:val="02BB1642"/>
    <w:rsid w:val="02BC3862"/>
    <w:rsid w:val="02CF5EEA"/>
    <w:rsid w:val="02D432A2"/>
    <w:rsid w:val="02D4526A"/>
    <w:rsid w:val="02DC2156"/>
    <w:rsid w:val="02E80AFB"/>
    <w:rsid w:val="02EB406C"/>
    <w:rsid w:val="02ED6112"/>
    <w:rsid w:val="02ED698C"/>
    <w:rsid w:val="02F94AB6"/>
    <w:rsid w:val="02FA082F"/>
    <w:rsid w:val="0306659A"/>
    <w:rsid w:val="03153ABF"/>
    <w:rsid w:val="0317318F"/>
    <w:rsid w:val="03304250"/>
    <w:rsid w:val="03410D3E"/>
    <w:rsid w:val="03417220"/>
    <w:rsid w:val="03463A74"/>
    <w:rsid w:val="034D5E4E"/>
    <w:rsid w:val="0350044F"/>
    <w:rsid w:val="036667DD"/>
    <w:rsid w:val="036919AA"/>
    <w:rsid w:val="03875DE6"/>
    <w:rsid w:val="039E11BA"/>
    <w:rsid w:val="03A26EFC"/>
    <w:rsid w:val="03C66DEB"/>
    <w:rsid w:val="03D36D1F"/>
    <w:rsid w:val="03E47515"/>
    <w:rsid w:val="03EC461B"/>
    <w:rsid w:val="03EE3EEF"/>
    <w:rsid w:val="03EF7C67"/>
    <w:rsid w:val="03F700FE"/>
    <w:rsid w:val="03FD05D6"/>
    <w:rsid w:val="04096F7B"/>
    <w:rsid w:val="04185410"/>
    <w:rsid w:val="04212517"/>
    <w:rsid w:val="0425573F"/>
    <w:rsid w:val="04267B2D"/>
    <w:rsid w:val="0428517E"/>
    <w:rsid w:val="04357D70"/>
    <w:rsid w:val="043C4D20"/>
    <w:rsid w:val="04402271"/>
    <w:rsid w:val="04420326"/>
    <w:rsid w:val="0442423B"/>
    <w:rsid w:val="045A6FA9"/>
    <w:rsid w:val="045F7CB9"/>
    <w:rsid w:val="046702FE"/>
    <w:rsid w:val="04671BCD"/>
    <w:rsid w:val="046A40DD"/>
    <w:rsid w:val="046C3066"/>
    <w:rsid w:val="046C67C9"/>
    <w:rsid w:val="04926F71"/>
    <w:rsid w:val="049727D9"/>
    <w:rsid w:val="04A66578"/>
    <w:rsid w:val="04AE367F"/>
    <w:rsid w:val="04AE7B23"/>
    <w:rsid w:val="04B92AD2"/>
    <w:rsid w:val="04BC5D9C"/>
    <w:rsid w:val="04C66C1A"/>
    <w:rsid w:val="04FC6AE0"/>
    <w:rsid w:val="05094D59"/>
    <w:rsid w:val="050D2A9B"/>
    <w:rsid w:val="05224E91"/>
    <w:rsid w:val="052B4CCF"/>
    <w:rsid w:val="05377B18"/>
    <w:rsid w:val="053A13B6"/>
    <w:rsid w:val="054D158E"/>
    <w:rsid w:val="05634B5E"/>
    <w:rsid w:val="056512CE"/>
    <w:rsid w:val="056F2E0E"/>
    <w:rsid w:val="05742A7A"/>
    <w:rsid w:val="05850ED8"/>
    <w:rsid w:val="05852631"/>
    <w:rsid w:val="05882122"/>
    <w:rsid w:val="058E7E66"/>
    <w:rsid w:val="059F00D7"/>
    <w:rsid w:val="05AD7DDA"/>
    <w:rsid w:val="05D47115"/>
    <w:rsid w:val="05D90BCF"/>
    <w:rsid w:val="05F15DFC"/>
    <w:rsid w:val="05F15F19"/>
    <w:rsid w:val="05F814A1"/>
    <w:rsid w:val="060C342F"/>
    <w:rsid w:val="060F0E6C"/>
    <w:rsid w:val="062005AC"/>
    <w:rsid w:val="06283A70"/>
    <w:rsid w:val="063D4CBA"/>
    <w:rsid w:val="064C01B1"/>
    <w:rsid w:val="064C75F3"/>
    <w:rsid w:val="064F2C3F"/>
    <w:rsid w:val="065C0B2C"/>
    <w:rsid w:val="06604E4C"/>
    <w:rsid w:val="0664445A"/>
    <w:rsid w:val="06770305"/>
    <w:rsid w:val="068A3BAA"/>
    <w:rsid w:val="068F128B"/>
    <w:rsid w:val="06C37604"/>
    <w:rsid w:val="06DE4D4C"/>
    <w:rsid w:val="06EB6E0C"/>
    <w:rsid w:val="06EC66E0"/>
    <w:rsid w:val="06F23CF7"/>
    <w:rsid w:val="07027CB2"/>
    <w:rsid w:val="071C5217"/>
    <w:rsid w:val="071C6FC5"/>
    <w:rsid w:val="071D4AEC"/>
    <w:rsid w:val="07242A5E"/>
    <w:rsid w:val="07393F81"/>
    <w:rsid w:val="07395CFF"/>
    <w:rsid w:val="074007EA"/>
    <w:rsid w:val="07400D7F"/>
    <w:rsid w:val="07470275"/>
    <w:rsid w:val="075D0ABA"/>
    <w:rsid w:val="075F6EB2"/>
    <w:rsid w:val="0761211B"/>
    <w:rsid w:val="076646E5"/>
    <w:rsid w:val="076F550D"/>
    <w:rsid w:val="077C5CB6"/>
    <w:rsid w:val="07832BA1"/>
    <w:rsid w:val="07862691"/>
    <w:rsid w:val="0797664C"/>
    <w:rsid w:val="07A14C1D"/>
    <w:rsid w:val="07AB0349"/>
    <w:rsid w:val="07AF39D1"/>
    <w:rsid w:val="07C5140B"/>
    <w:rsid w:val="07C9170A"/>
    <w:rsid w:val="07E82BCD"/>
    <w:rsid w:val="0808579C"/>
    <w:rsid w:val="08111BA2"/>
    <w:rsid w:val="08183C31"/>
    <w:rsid w:val="08273A6D"/>
    <w:rsid w:val="082D603F"/>
    <w:rsid w:val="082E60C7"/>
    <w:rsid w:val="083431BE"/>
    <w:rsid w:val="08422A5C"/>
    <w:rsid w:val="084533AC"/>
    <w:rsid w:val="084F33CB"/>
    <w:rsid w:val="085602B5"/>
    <w:rsid w:val="085B79F2"/>
    <w:rsid w:val="08837AEF"/>
    <w:rsid w:val="089112ED"/>
    <w:rsid w:val="08935065"/>
    <w:rsid w:val="089A4646"/>
    <w:rsid w:val="08A06896"/>
    <w:rsid w:val="08B82D1E"/>
    <w:rsid w:val="08BE0FF9"/>
    <w:rsid w:val="08C07E24"/>
    <w:rsid w:val="08C47FFD"/>
    <w:rsid w:val="08E97E37"/>
    <w:rsid w:val="08FC433D"/>
    <w:rsid w:val="090D70CF"/>
    <w:rsid w:val="091837BC"/>
    <w:rsid w:val="091A5787"/>
    <w:rsid w:val="0923693C"/>
    <w:rsid w:val="0926412B"/>
    <w:rsid w:val="09265ED9"/>
    <w:rsid w:val="092B1742"/>
    <w:rsid w:val="092D0755"/>
    <w:rsid w:val="093504B4"/>
    <w:rsid w:val="093D1475"/>
    <w:rsid w:val="0946032A"/>
    <w:rsid w:val="0949606C"/>
    <w:rsid w:val="094B7B54"/>
    <w:rsid w:val="096F5AD2"/>
    <w:rsid w:val="097C01EF"/>
    <w:rsid w:val="098E4FA0"/>
    <w:rsid w:val="09902DEC"/>
    <w:rsid w:val="09916EF4"/>
    <w:rsid w:val="09945539"/>
    <w:rsid w:val="099E3CC2"/>
    <w:rsid w:val="09B01C47"/>
    <w:rsid w:val="09B554AF"/>
    <w:rsid w:val="09B94BC9"/>
    <w:rsid w:val="09D21BBD"/>
    <w:rsid w:val="09D5113E"/>
    <w:rsid w:val="09DE4A06"/>
    <w:rsid w:val="09E0077E"/>
    <w:rsid w:val="09EB2C7F"/>
    <w:rsid w:val="0A033D49"/>
    <w:rsid w:val="0A03621B"/>
    <w:rsid w:val="0A0A6661"/>
    <w:rsid w:val="0A120DAC"/>
    <w:rsid w:val="0A136A23"/>
    <w:rsid w:val="0A1E1991"/>
    <w:rsid w:val="0A2F7CC5"/>
    <w:rsid w:val="0A690774"/>
    <w:rsid w:val="0A717628"/>
    <w:rsid w:val="0A78728B"/>
    <w:rsid w:val="0A7B30EB"/>
    <w:rsid w:val="0A892BC4"/>
    <w:rsid w:val="0A947B2B"/>
    <w:rsid w:val="0AB46643"/>
    <w:rsid w:val="0AB55CF1"/>
    <w:rsid w:val="0AD6392F"/>
    <w:rsid w:val="0AD67BFB"/>
    <w:rsid w:val="0B0F299D"/>
    <w:rsid w:val="0B183F48"/>
    <w:rsid w:val="0B1D155E"/>
    <w:rsid w:val="0B2007B7"/>
    <w:rsid w:val="0B21104E"/>
    <w:rsid w:val="0B4153D8"/>
    <w:rsid w:val="0B4B7E79"/>
    <w:rsid w:val="0B5331D2"/>
    <w:rsid w:val="0B554854"/>
    <w:rsid w:val="0B633694"/>
    <w:rsid w:val="0B642CE9"/>
    <w:rsid w:val="0B704286"/>
    <w:rsid w:val="0B792C38"/>
    <w:rsid w:val="0BA650B0"/>
    <w:rsid w:val="0BC32105"/>
    <w:rsid w:val="0BC55E7E"/>
    <w:rsid w:val="0BD54A82"/>
    <w:rsid w:val="0C0B7609"/>
    <w:rsid w:val="0C1464BD"/>
    <w:rsid w:val="0C1F363C"/>
    <w:rsid w:val="0C207036"/>
    <w:rsid w:val="0C2D57D1"/>
    <w:rsid w:val="0C3923C8"/>
    <w:rsid w:val="0C421E8C"/>
    <w:rsid w:val="0C48085D"/>
    <w:rsid w:val="0C4D1B9D"/>
    <w:rsid w:val="0C4E7FBE"/>
    <w:rsid w:val="0C5875D2"/>
    <w:rsid w:val="0C605BA6"/>
    <w:rsid w:val="0C621E43"/>
    <w:rsid w:val="0C6954E4"/>
    <w:rsid w:val="0C7156BE"/>
    <w:rsid w:val="0C7F064D"/>
    <w:rsid w:val="0C8278CB"/>
    <w:rsid w:val="0C851169"/>
    <w:rsid w:val="0C9A3CCB"/>
    <w:rsid w:val="0CAA6E21"/>
    <w:rsid w:val="0CB0724F"/>
    <w:rsid w:val="0CBB4B8B"/>
    <w:rsid w:val="0CC46135"/>
    <w:rsid w:val="0CD72091"/>
    <w:rsid w:val="0CDA72D1"/>
    <w:rsid w:val="0CDF2F6F"/>
    <w:rsid w:val="0CFE46F5"/>
    <w:rsid w:val="0D1852A1"/>
    <w:rsid w:val="0D1D632B"/>
    <w:rsid w:val="0D2C7836"/>
    <w:rsid w:val="0D38442D"/>
    <w:rsid w:val="0D3A3626"/>
    <w:rsid w:val="0D3C7E89"/>
    <w:rsid w:val="0D4B23B2"/>
    <w:rsid w:val="0D553231"/>
    <w:rsid w:val="0D682F64"/>
    <w:rsid w:val="0D6C2329"/>
    <w:rsid w:val="0D735465"/>
    <w:rsid w:val="0D8B27AF"/>
    <w:rsid w:val="0DA10224"/>
    <w:rsid w:val="0DB00467"/>
    <w:rsid w:val="0DB37F58"/>
    <w:rsid w:val="0DC42165"/>
    <w:rsid w:val="0DD248FB"/>
    <w:rsid w:val="0DD60F2F"/>
    <w:rsid w:val="0DDA3875"/>
    <w:rsid w:val="0DDD6D83"/>
    <w:rsid w:val="0DDF0D4D"/>
    <w:rsid w:val="0DE10621"/>
    <w:rsid w:val="0DE14A0A"/>
    <w:rsid w:val="0DE620DB"/>
    <w:rsid w:val="0DF91E0E"/>
    <w:rsid w:val="0E204A31"/>
    <w:rsid w:val="0E2D3866"/>
    <w:rsid w:val="0E3270CE"/>
    <w:rsid w:val="0E3A5F83"/>
    <w:rsid w:val="0E43048A"/>
    <w:rsid w:val="0E4E0AD5"/>
    <w:rsid w:val="0E5544DF"/>
    <w:rsid w:val="0E5E4367"/>
    <w:rsid w:val="0E6354DA"/>
    <w:rsid w:val="0E8F5FA6"/>
    <w:rsid w:val="0E9F5A87"/>
    <w:rsid w:val="0EAD0922"/>
    <w:rsid w:val="0EB61AAE"/>
    <w:rsid w:val="0EBC0032"/>
    <w:rsid w:val="0EC711C5"/>
    <w:rsid w:val="0EC73CBB"/>
    <w:rsid w:val="0ED168E7"/>
    <w:rsid w:val="0EDE777D"/>
    <w:rsid w:val="0EE52393"/>
    <w:rsid w:val="0EFD148A"/>
    <w:rsid w:val="0F030974"/>
    <w:rsid w:val="0F0942D3"/>
    <w:rsid w:val="0F0E3698"/>
    <w:rsid w:val="0F1D7D7F"/>
    <w:rsid w:val="0F4671E7"/>
    <w:rsid w:val="0F571432"/>
    <w:rsid w:val="0F585972"/>
    <w:rsid w:val="0F692FC4"/>
    <w:rsid w:val="0F6F7F34"/>
    <w:rsid w:val="0F8B2F3A"/>
    <w:rsid w:val="0F8C0A60"/>
    <w:rsid w:val="0F977B31"/>
    <w:rsid w:val="0FA551A3"/>
    <w:rsid w:val="0FA607A8"/>
    <w:rsid w:val="0FA83AEC"/>
    <w:rsid w:val="0FAC0D64"/>
    <w:rsid w:val="0FB57FB7"/>
    <w:rsid w:val="0FBE3179"/>
    <w:rsid w:val="0FCB1589"/>
    <w:rsid w:val="0FD53DAA"/>
    <w:rsid w:val="0FE20680"/>
    <w:rsid w:val="0FF24D67"/>
    <w:rsid w:val="100131FC"/>
    <w:rsid w:val="101A244F"/>
    <w:rsid w:val="101C0036"/>
    <w:rsid w:val="102962AF"/>
    <w:rsid w:val="102A3FB2"/>
    <w:rsid w:val="10441BE8"/>
    <w:rsid w:val="10446B35"/>
    <w:rsid w:val="10466E61"/>
    <w:rsid w:val="104C41DB"/>
    <w:rsid w:val="104D4694"/>
    <w:rsid w:val="105A290D"/>
    <w:rsid w:val="105B0B5E"/>
    <w:rsid w:val="105F7F23"/>
    <w:rsid w:val="106A2B50"/>
    <w:rsid w:val="10764074"/>
    <w:rsid w:val="10967DE9"/>
    <w:rsid w:val="10991559"/>
    <w:rsid w:val="10A120FD"/>
    <w:rsid w:val="10A73186"/>
    <w:rsid w:val="10B1077E"/>
    <w:rsid w:val="10CA5CE4"/>
    <w:rsid w:val="10D32DB8"/>
    <w:rsid w:val="10D3637A"/>
    <w:rsid w:val="10E715A0"/>
    <w:rsid w:val="10EC5C5A"/>
    <w:rsid w:val="10EF12A7"/>
    <w:rsid w:val="10EF574B"/>
    <w:rsid w:val="10F81858"/>
    <w:rsid w:val="111667FB"/>
    <w:rsid w:val="114257BF"/>
    <w:rsid w:val="114A0BD3"/>
    <w:rsid w:val="114C04A7"/>
    <w:rsid w:val="11581C07"/>
    <w:rsid w:val="116021A5"/>
    <w:rsid w:val="11650CEB"/>
    <w:rsid w:val="11652C63"/>
    <w:rsid w:val="117D384D"/>
    <w:rsid w:val="11827F8E"/>
    <w:rsid w:val="119105B0"/>
    <w:rsid w:val="11967974"/>
    <w:rsid w:val="1198193E"/>
    <w:rsid w:val="119C6247"/>
    <w:rsid w:val="11A45D79"/>
    <w:rsid w:val="11AB1672"/>
    <w:rsid w:val="11B147AE"/>
    <w:rsid w:val="11BC0E16"/>
    <w:rsid w:val="11BF70CE"/>
    <w:rsid w:val="11C40985"/>
    <w:rsid w:val="11C447CC"/>
    <w:rsid w:val="11C95F9C"/>
    <w:rsid w:val="11DF756D"/>
    <w:rsid w:val="11E14EEE"/>
    <w:rsid w:val="11E40B43"/>
    <w:rsid w:val="11F4359A"/>
    <w:rsid w:val="11F72B09"/>
    <w:rsid w:val="1202325C"/>
    <w:rsid w:val="12023786"/>
    <w:rsid w:val="12121D48"/>
    <w:rsid w:val="121865DB"/>
    <w:rsid w:val="12373F9F"/>
    <w:rsid w:val="123874A6"/>
    <w:rsid w:val="124273CD"/>
    <w:rsid w:val="12463148"/>
    <w:rsid w:val="124F46F3"/>
    <w:rsid w:val="12507A35"/>
    <w:rsid w:val="126B7053"/>
    <w:rsid w:val="12706408"/>
    <w:rsid w:val="12706417"/>
    <w:rsid w:val="12751C80"/>
    <w:rsid w:val="127C4DBC"/>
    <w:rsid w:val="12922832"/>
    <w:rsid w:val="12954EDB"/>
    <w:rsid w:val="129A57C7"/>
    <w:rsid w:val="129C545E"/>
    <w:rsid w:val="12A7643B"/>
    <w:rsid w:val="12AF0CEE"/>
    <w:rsid w:val="12B75CBC"/>
    <w:rsid w:val="12BC340B"/>
    <w:rsid w:val="12CD1ABC"/>
    <w:rsid w:val="12D26A15"/>
    <w:rsid w:val="12D46289"/>
    <w:rsid w:val="12ED6FC1"/>
    <w:rsid w:val="12ED7A68"/>
    <w:rsid w:val="1319085D"/>
    <w:rsid w:val="13192368"/>
    <w:rsid w:val="131A12D0"/>
    <w:rsid w:val="131A642D"/>
    <w:rsid w:val="1323305E"/>
    <w:rsid w:val="13257202"/>
    <w:rsid w:val="132A2A6A"/>
    <w:rsid w:val="132F1E2E"/>
    <w:rsid w:val="13392CAD"/>
    <w:rsid w:val="135049C5"/>
    <w:rsid w:val="135A44AD"/>
    <w:rsid w:val="135C5B39"/>
    <w:rsid w:val="135D2E40"/>
    <w:rsid w:val="136A69FC"/>
    <w:rsid w:val="13734411"/>
    <w:rsid w:val="13741F37"/>
    <w:rsid w:val="13771B89"/>
    <w:rsid w:val="137F2DA2"/>
    <w:rsid w:val="13987F9F"/>
    <w:rsid w:val="13992F0A"/>
    <w:rsid w:val="139F0559"/>
    <w:rsid w:val="13A9398F"/>
    <w:rsid w:val="13AC16D1"/>
    <w:rsid w:val="13AE4D95"/>
    <w:rsid w:val="13AE5449"/>
    <w:rsid w:val="13B16CE7"/>
    <w:rsid w:val="13B6436A"/>
    <w:rsid w:val="13C7475D"/>
    <w:rsid w:val="13D03611"/>
    <w:rsid w:val="13D12EE6"/>
    <w:rsid w:val="13D3452B"/>
    <w:rsid w:val="13D44EBB"/>
    <w:rsid w:val="13D908B7"/>
    <w:rsid w:val="13E76BAD"/>
    <w:rsid w:val="13FA068E"/>
    <w:rsid w:val="13FB76F3"/>
    <w:rsid w:val="14005579"/>
    <w:rsid w:val="14065285"/>
    <w:rsid w:val="140B289C"/>
    <w:rsid w:val="14172444"/>
    <w:rsid w:val="1418439F"/>
    <w:rsid w:val="141F00F5"/>
    <w:rsid w:val="142676D5"/>
    <w:rsid w:val="142E0338"/>
    <w:rsid w:val="142F2A6F"/>
    <w:rsid w:val="14551D69"/>
    <w:rsid w:val="145853B5"/>
    <w:rsid w:val="14733F9D"/>
    <w:rsid w:val="14771CDF"/>
    <w:rsid w:val="147F0B94"/>
    <w:rsid w:val="14847F58"/>
    <w:rsid w:val="1485084F"/>
    <w:rsid w:val="14860174"/>
    <w:rsid w:val="148D1503"/>
    <w:rsid w:val="149C7998"/>
    <w:rsid w:val="149F2FE4"/>
    <w:rsid w:val="14A32948"/>
    <w:rsid w:val="14A32AD4"/>
    <w:rsid w:val="14AF76CB"/>
    <w:rsid w:val="14C03686"/>
    <w:rsid w:val="14C50C9C"/>
    <w:rsid w:val="14CD18FF"/>
    <w:rsid w:val="14E32ED1"/>
    <w:rsid w:val="14E60C13"/>
    <w:rsid w:val="14ED3D4F"/>
    <w:rsid w:val="14FC0436"/>
    <w:rsid w:val="15127C5A"/>
    <w:rsid w:val="15165E9F"/>
    <w:rsid w:val="151C3C4C"/>
    <w:rsid w:val="15347BD0"/>
    <w:rsid w:val="153953A6"/>
    <w:rsid w:val="153B4ABB"/>
    <w:rsid w:val="153C6A85"/>
    <w:rsid w:val="1557566D"/>
    <w:rsid w:val="155913E5"/>
    <w:rsid w:val="155E4C4D"/>
    <w:rsid w:val="15610299"/>
    <w:rsid w:val="15664323"/>
    <w:rsid w:val="157306F8"/>
    <w:rsid w:val="157B62E0"/>
    <w:rsid w:val="158310C1"/>
    <w:rsid w:val="15897F1C"/>
    <w:rsid w:val="158A5A42"/>
    <w:rsid w:val="158F0653"/>
    <w:rsid w:val="158F12AA"/>
    <w:rsid w:val="159468C1"/>
    <w:rsid w:val="159F0DA2"/>
    <w:rsid w:val="159F6E6A"/>
    <w:rsid w:val="15A563D8"/>
    <w:rsid w:val="15BC5AAE"/>
    <w:rsid w:val="15CD16BF"/>
    <w:rsid w:val="15D143AD"/>
    <w:rsid w:val="15DF5A11"/>
    <w:rsid w:val="15DF5D8E"/>
    <w:rsid w:val="15E06932"/>
    <w:rsid w:val="15F555B1"/>
    <w:rsid w:val="161F5562"/>
    <w:rsid w:val="163F682C"/>
    <w:rsid w:val="1642057B"/>
    <w:rsid w:val="16421E79"/>
    <w:rsid w:val="16461969"/>
    <w:rsid w:val="164B51D1"/>
    <w:rsid w:val="164E65C7"/>
    <w:rsid w:val="165A3666"/>
    <w:rsid w:val="16702E8A"/>
    <w:rsid w:val="16797F90"/>
    <w:rsid w:val="16923B57"/>
    <w:rsid w:val="169C3C7F"/>
    <w:rsid w:val="16A6065A"/>
    <w:rsid w:val="16A91EF8"/>
    <w:rsid w:val="16BA5EB3"/>
    <w:rsid w:val="16C3697B"/>
    <w:rsid w:val="16C3745D"/>
    <w:rsid w:val="16E82A85"/>
    <w:rsid w:val="16F92E7F"/>
    <w:rsid w:val="170759D7"/>
    <w:rsid w:val="17077F2B"/>
    <w:rsid w:val="172B2E02"/>
    <w:rsid w:val="1732013F"/>
    <w:rsid w:val="17481711"/>
    <w:rsid w:val="1752258F"/>
    <w:rsid w:val="175A3956"/>
    <w:rsid w:val="17620A24"/>
    <w:rsid w:val="176273F5"/>
    <w:rsid w:val="176F4EEF"/>
    <w:rsid w:val="1796247C"/>
    <w:rsid w:val="17980C05"/>
    <w:rsid w:val="17A74689"/>
    <w:rsid w:val="17AD28CF"/>
    <w:rsid w:val="17B34241"/>
    <w:rsid w:val="17B7099F"/>
    <w:rsid w:val="17CA65CA"/>
    <w:rsid w:val="17D64251"/>
    <w:rsid w:val="17E021AB"/>
    <w:rsid w:val="17E51656"/>
    <w:rsid w:val="17E72CD8"/>
    <w:rsid w:val="17EA27C8"/>
    <w:rsid w:val="17F3167D"/>
    <w:rsid w:val="18012F04"/>
    <w:rsid w:val="18100480"/>
    <w:rsid w:val="18115FA7"/>
    <w:rsid w:val="183028D1"/>
    <w:rsid w:val="18335FAA"/>
    <w:rsid w:val="183D0B4A"/>
    <w:rsid w:val="185A2BB6"/>
    <w:rsid w:val="1866286E"/>
    <w:rsid w:val="186B56B7"/>
    <w:rsid w:val="187A1186"/>
    <w:rsid w:val="188C387F"/>
    <w:rsid w:val="188E657C"/>
    <w:rsid w:val="189015C1"/>
    <w:rsid w:val="18980476"/>
    <w:rsid w:val="189A2440"/>
    <w:rsid w:val="18C4126B"/>
    <w:rsid w:val="18D30901"/>
    <w:rsid w:val="18D97C85"/>
    <w:rsid w:val="18EA2DBC"/>
    <w:rsid w:val="18EF453A"/>
    <w:rsid w:val="19097B9D"/>
    <w:rsid w:val="19185113"/>
    <w:rsid w:val="192E09F0"/>
    <w:rsid w:val="192F3E2C"/>
    <w:rsid w:val="19335E2A"/>
    <w:rsid w:val="193609BF"/>
    <w:rsid w:val="193A068A"/>
    <w:rsid w:val="194B4244"/>
    <w:rsid w:val="194E0845"/>
    <w:rsid w:val="19550115"/>
    <w:rsid w:val="196B7938"/>
    <w:rsid w:val="196D36B1"/>
    <w:rsid w:val="19704F75"/>
    <w:rsid w:val="1981715C"/>
    <w:rsid w:val="199826A2"/>
    <w:rsid w:val="19A60971"/>
    <w:rsid w:val="19AE61A3"/>
    <w:rsid w:val="19C05ED6"/>
    <w:rsid w:val="19C63549"/>
    <w:rsid w:val="19C808E7"/>
    <w:rsid w:val="19D159DE"/>
    <w:rsid w:val="19D86EF5"/>
    <w:rsid w:val="19D96F98"/>
    <w:rsid w:val="19DE635C"/>
    <w:rsid w:val="19DF6A21"/>
    <w:rsid w:val="1A0F1779"/>
    <w:rsid w:val="1A3D3083"/>
    <w:rsid w:val="1A420699"/>
    <w:rsid w:val="1A54439E"/>
    <w:rsid w:val="1A562397"/>
    <w:rsid w:val="1A584361"/>
    <w:rsid w:val="1A6B5E42"/>
    <w:rsid w:val="1A7840BB"/>
    <w:rsid w:val="1A7B1DFD"/>
    <w:rsid w:val="1A8602DA"/>
    <w:rsid w:val="1AB20D2C"/>
    <w:rsid w:val="1AC15DB2"/>
    <w:rsid w:val="1AC75042"/>
    <w:rsid w:val="1AD67034"/>
    <w:rsid w:val="1B063DBD"/>
    <w:rsid w:val="1B0911B7"/>
    <w:rsid w:val="1B0C4116"/>
    <w:rsid w:val="1B1F09DB"/>
    <w:rsid w:val="1B2B028F"/>
    <w:rsid w:val="1B2F50C2"/>
    <w:rsid w:val="1B3426D8"/>
    <w:rsid w:val="1B4072CF"/>
    <w:rsid w:val="1B43291B"/>
    <w:rsid w:val="1B4A1EFB"/>
    <w:rsid w:val="1B50328A"/>
    <w:rsid w:val="1B5508A0"/>
    <w:rsid w:val="1B63216D"/>
    <w:rsid w:val="1B666609"/>
    <w:rsid w:val="1B7900EB"/>
    <w:rsid w:val="1B970EB9"/>
    <w:rsid w:val="1BA07D6D"/>
    <w:rsid w:val="1BB21DC7"/>
    <w:rsid w:val="1BDF0661"/>
    <w:rsid w:val="1BEA2D97"/>
    <w:rsid w:val="1BEF2AA3"/>
    <w:rsid w:val="1C080061"/>
    <w:rsid w:val="1C136791"/>
    <w:rsid w:val="1C1A7A3A"/>
    <w:rsid w:val="1C1B3CDE"/>
    <w:rsid w:val="1C217D49"/>
    <w:rsid w:val="1C2215CF"/>
    <w:rsid w:val="1C2A68FC"/>
    <w:rsid w:val="1C2C265D"/>
    <w:rsid w:val="1C3109C5"/>
    <w:rsid w:val="1C383E0A"/>
    <w:rsid w:val="1C386FBB"/>
    <w:rsid w:val="1C387FA6"/>
    <w:rsid w:val="1C3A3AC8"/>
    <w:rsid w:val="1C3D736A"/>
    <w:rsid w:val="1C3E30E2"/>
    <w:rsid w:val="1C4E1E20"/>
    <w:rsid w:val="1C511068"/>
    <w:rsid w:val="1C591153"/>
    <w:rsid w:val="1C623275"/>
    <w:rsid w:val="1C626DD1"/>
    <w:rsid w:val="1C704698"/>
    <w:rsid w:val="1C7B0DBD"/>
    <w:rsid w:val="1C7F3E27"/>
    <w:rsid w:val="1C8A6328"/>
    <w:rsid w:val="1C972D41"/>
    <w:rsid w:val="1C9A47BD"/>
    <w:rsid w:val="1C9D24FF"/>
    <w:rsid w:val="1C9F0025"/>
    <w:rsid w:val="1CA052F9"/>
    <w:rsid w:val="1CBA6C0D"/>
    <w:rsid w:val="1CD75A11"/>
    <w:rsid w:val="1CD83537"/>
    <w:rsid w:val="1CE04895"/>
    <w:rsid w:val="1CEB2965"/>
    <w:rsid w:val="1D0A3F77"/>
    <w:rsid w:val="1D0F51B4"/>
    <w:rsid w:val="1D122306"/>
    <w:rsid w:val="1D147534"/>
    <w:rsid w:val="1D163EB9"/>
    <w:rsid w:val="1D16439E"/>
    <w:rsid w:val="1D422B05"/>
    <w:rsid w:val="1D552DD9"/>
    <w:rsid w:val="1D5726AE"/>
    <w:rsid w:val="1D5F4A82"/>
    <w:rsid w:val="1D5F77B4"/>
    <w:rsid w:val="1D863A20"/>
    <w:rsid w:val="1D89409B"/>
    <w:rsid w:val="1DA653E3"/>
    <w:rsid w:val="1DB06D6D"/>
    <w:rsid w:val="1DB21FDA"/>
    <w:rsid w:val="1DCA3977"/>
    <w:rsid w:val="1DCD471E"/>
    <w:rsid w:val="1DD91315"/>
    <w:rsid w:val="1DED43D3"/>
    <w:rsid w:val="1E1015DF"/>
    <w:rsid w:val="1E193E07"/>
    <w:rsid w:val="1E360515"/>
    <w:rsid w:val="1E4A0464"/>
    <w:rsid w:val="1E4D747A"/>
    <w:rsid w:val="1E5079B9"/>
    <w:rsid w:val="1E62130A"/>
    <w:rsid w:val="1E6E1579"/>
    <w:rsid w:val="1E9304A1"/>
    <w:rsid w:val="1E9837A9"/>
    <w:rsid w:val="1EAE1D8B"/>
    <w:rsid w:val="1EB16929"/>
    <w:rsid w:val="1EBA7398"/>
    <w:rsid w:val="1EC41FC5"/>
    <w:rsid w:val="1ED336BB"/>
    <w:rsid w:val="1EF92857"/>
    <w:rsid w:val="1EFA1543"/>
    <w:rsid w:val="1F022AED"/>
    <w:rsid w:val="1F026649"/>
    <w:rsid w:val="1F0423C1"/>
    <w:rsid w:val="1F1C595D"/>
    <w:rsid w:val="1F3709E9"/>
    <w:rsid w:val="1F69491A"/>
    <w:rsid w:val="1F817EB6"/>
    <w:rsid w:val="1F8247E8"/>
    <w:rsid w:val="1F8E612F"/>
    <w:rsid w:val="1F923E71"/>
    <w:rsid w:val="1F980D5B"/>
    <w:rsid w:val="1FA37E2C"/>
    <w:rsid w:val="1FB042F7"/>
    <w:rsid w:val="1FC23AE2"/>
    <w:rsid w:val="1FE521F3"/>
    <w:rsid w:val="1FEE3EF7"/>
    <w:rsid w:val="1FF95C9E"/>
    <w:rsid w:val="1FFE35CC"/>
    <w:rsid w:val="20012DA5"/>
    <w:rsid w:val="20062169"/>
    <w:rsid w:val="200D799B"/>
    <w:rsid w:val="200E4EC7"/>
    <w:rsid w:val="202A40A9"/>
    <w:rsid w:val="203767C6"/>
    <w:rsid w:val="20541126"/>
    <w:rsid w:val="205B4263"/>
    <w:rsid w:val="2060790C"/>
    <w:rsid w:val="20686980"/>
    <w:rsid w:val="20692E24"/>
    <w:rsid w:val="20721CFB"/>
    <w:rsid w:val="207A58C4"/>
    <w:rsid w:val="20841CDA"/>
    <w:rsid w:val="208C266E"/>
    <w:rsid w:val="20BA367F"/>
    <w:rsid w:val="20C53DD2"/>
    <w:rsid w:val="20D3029D"/>
    <w:rsid w:val="20DA787E"/>
    <w:rsid w:val="21025026"/>
    <w:rsid w:val="21076199"/>
    <w:rsid w:val="211F239D"/>
    <w:rsid w:val="21260D15"/>
    <w:rsid w:val="2127683B"/>
    <w:rsid w:val="212C5BFF"/>
    <w:rsid w:val="21423675"/>
    <w:rsid w:val="21464F13"/>
    <w:rsid w:val="21585671"/>
    <w:rsid w:val="21645399"/>
    <w:rsid w:val="216B5933"/>
    <w:rsid w:val="21810588"/>
    <w:rsid w:val="219263AA"/>
    <w:rsid w:val="21975255"/>
    <w:rsid w:val="21A86D5D"/>
    <w:rsid w:val="21AE4866"/>
    <w:rsid w:val="21BC78A2"/>
    <w:rsid w:val="21DF0EC4"/>
    <w:rsid w:val="21EC58D7"/>
    <w:rsid w:val="21EE1107"/>
    <w:rsid w:val="22146DBF"/>
    <w:rsid w:val="222F3BF9"/>
    <w:rsid w:val="224439AE"/>
    <w:rsid w:val="22464B69"/>
    <w:rsid w:val="22465668"/>
    <w:rsid w:val="224A1EDC"/>
    <w:rsid w:val="224D22D1"/>
    <w:rsid w:val="22513B6F"/>
    <w:rsid w:val="225B49EE"/>
    <w:rsid w:val="226F4835"/>
    <w:rsid w:val="2277734E"/>
    <w:rsid w:val="22835CF3"/>
    <w:rsid w:val="22977811"/>
    <w:rsid w:val="22A53EBB"/>
    <w:rsid w:val="22AC524A"/>
    <w:rsid w:val="22AD4B1E"/>
    <w:rsid w:val="22BC5229"/>
    <w:rsid w:val="22CC31F6"/>
    <w:rsid w:val="22D64075"/>
    <w:rsid w:val="22E03145"/>
    <w:rsid w:val="22E07BE3"/>
    <w:rsid w:val="22FB1D2D"/>
    <w:rsid w:val="23005595"/>
    <w:rsid w:val="230B6414"/>
    <w:rsid w:val="23113B92"/>
    <w:rsid w:val="23130E25"/>
    <w:rsid w:val="231336BF"/>
    <w:rsid w:val="232474D6"/>
    <w:rsid w:val="2326066E"/>
    <w:rsid w:val="23405992"/>
    <w:rsid w:val="234731C4"/>
    <w:rsid w:val="23495845"/>
    <w:rsid w:val="23531B69"/>
    <w:rsid w:val="235A159E"/>
    <w:rsid w:val="2366171F"/>
    <w:rsid w:val="23874733"/>
    <w:rsid w:val="2398757C"/>
    <w:rsid w:val="239F090A"/>
    <w:rsid w:val="23AD74CB"/>
    <w:rsid w:val="23BB4A5D"/>
    <w:rsid w:val="23DC0311"/>
    <w:rsid w:val="23DF233A"/>
    <w:rsid w:val="23E313B8"/>
    <w:rsid w:val="23FF75FB"/>
    <w:rsid w:val="24015121"/>
    <w:rsid w:val="241E3F25"/>
    <w:rsid w:val="24217571"/>
    <w:rsid w:val="2422515D"/>
    <w:rsid w:val="24253506"/>
    <w:rsid w:val="24361FED"/>
    <w:rsid w:val="243C43AB"/>
    <w:rsid w:val="244E4623"/>
    <w:rsid w:val="244F2331"/>
    <w:rsid w:val="2466505A"/>
    <w:rsid w:val="24727DCD"/>
    <w:rsid w:val="247B1377"/>
    <w:rsid w:val="247E2C16"/>
    <w:rsid w:val="24817FE5"/>
    <w:rsid w:val="2483647E"/>
    <w:rsid w:val="248C335D"/>
    <w:rsid w:val="249B7324"/>
    <w:rsid w:val="24AB32DF"/>
    <w:rsid w:val="24B569A8"/>
    <w:rsid w:val="24CF6FCD"/>
    <w:rsid w:val="24D80578"/>
    <w:rsid w:val="24E44142"/>
    <w:rsid w:val="24F15196"/>
    <w:rsid w:val="250A26FB"/>
    <w:rsid w:val="250A44A9"/>
    <w:rsid w:val="2517536F"/>
    <w:rsid w:val="251B2969"/>
    <w:rsid w:val="251D41DD"/>
    <w:rsid w:val="25242CE7"/>
    <w:rsid w:val="252512E3"/>
    <w:rsid w:val="25257535"/>
    <w:rsid w:val="2527505B"/>
    <w:rsid w:val="25445C0D"/>
    <w:rsid w:val="254C2D14"/>
    <w:rsid w:val="2561056D"/>
    <w:rsid w:val="25650BF0"/>
    <w:rsid w:val="256A520F"/>
    <w:rsid w:val="256C2A6E"/>
    <w:rsid w:val="25781413"/>
    <w:rsid w:val="257A1F7A"/>
    <w:rsid w:val="257E33D4"/>
    <w:rsid w:val="25912E9A"/>
    <w:rsid w:val="2593624D"/>
    <w:rsid w:val="25B05051"/>
    <w:rsid w:val="25C32FD6"/>
    <w:rsid w:val="25DC5E46"/>
    <w:rsid w:val="25DF5936"/>
    <w:rsid w:val="25DF76E4"/>
    <w:rsid w:val="25E92311"/>
    <w:rsid w:val="25FC1F6F"/>
    <w:rsid w:val="260357AC"/>
    <w:rsid w:val="260E1D77"/>
    <w:rsid w:val="261E5451"/>
    <w:rsid w:val="264A1001"/>
    <w:rsid w:val="264D464E"/>
    <w:rsid w:val="264F6618"/>
    <w:rsid w:val="266A3452"/>
    <w:rsid w:val="26764558"/>
    <w:rsid w:val="2679402F"/>
    <w:rsid w:val="26B11081"/>
    <w:rsid w:val="26B7049C"/>
    <w:rsid w:val="26BB5A5B"/>
    <w:rsid w:val="26C37006"/>
    <w:rsid w:val="26CC5EBA"/>
    <w:rsid w:val="26EB3E67"/>
    <w:rsid w:val="26F611A5"/>
    <w:rsid w:val="26FB054E"/>
    <w:rsid w:val="26FE3B9A"/>
    <w:rsid w:val="27022BA9"/>
    <w:rsid w:val="27050247"/>
    <w:rsid w:val="270D0281"/>
    <w:rsid w:val="2725381D"/>
    <w:rsid w:val="2731499C"/>
    <w:rsid w:val="27320F55"/>
    <w:rsid w:val="273677D8"/>
    <w:rsid w:val="27441EF5"/>
    <w:rsid w:val="2751016E"/>
    <w:rsid w:val="27550449"/>
    <w:rsid w:val="276C31F9"/>
    <w:rsid w:val="276F1C0A"/>
    <w:rsid w:val="277A3B68"/>
    <w:rsid w:val="277E7422"/>
    <w:rsid w:val="278542BB"/>
    <w:rsid w:val="27925789"/>
    <w:rsid w:val="27A110F5"/>
    <w:rsid w:val="27B568E6"/>
    <w:rsid w:val="27BD1CA7"/>
    <w:rsid w:val="27C60B5C"/>
    <w:rsid w:val="27C76682"/>
    <w:rsid w:val="27C941A8"/>
    <w:rsid w:val="27D003F3"/>
    <w:rsid w:val="27D25752"/>
    <w:rsid w:val="27D72D69"/>
    <w:rsid w:val="27E754C4"/>
    <w:rsid w:val="27E838A0"/>
    <w:rsid w:val="27EB6814"/>
    <w:rsid w:val="27F751B9"/>
    <w:rsid w:val="27FA0929"/>
    <w:rsid w:val="28096C9A"/>
    <w:rsid w:val="280B7BC3"/>
    <w:rsid w:val="28110526"/>
    <w:rsid w:val="2818512F"/>
    <w:rsid w:val="281A0EA7"/>
    <w:rsid w:val="281A6B3E"/>
    <w:rsid w:val="28341F69"/>
    <w:rsid w:val="283E523E"/>
    <w:rsid w:val="283F6199"/>
    <w:rsid w:val="284D302B"/>
    <w:rsid w:val="285D746B"/>
    <w:rsid w:val="2869656D"/>
    <w:rsid w:val="2869714F"/>
    <w:rsid w:val="287249EB"/>
    <w:rsid w:val="287C56BE"/>
    <w:rsid w:val="287D568E"/>
    <w:rsid w:val="28885E11"/>
    <w:rsid w:val="288B70F0"/>
    <w:rsid w:val="288D3427"/>
    <w:rsid w:val="28C33694"/>
    <w:rsid w:val="28D252DE"/>
    <w:rsid w:val="28D34DC5"/>
    <w:rsid w:val="28D948BF"/>
    <w:rsid w:val="28F24E95"/>
    <w:rsid w:val="29041AE9"/>
    <w:rsid w:val="291122AA"/>
    <w:rsid w:val="29226266"/>
    <w:rsid w:val="29581C87"/>
    <w:rsid w:val="295C45ED"/>
    <w:rsid w:val="2964687E"/>
    <w:rsid w:val="29647A54"/>
    <w:rsid w:val="29671F1A"/>
    <w:rsid w:val="297939AC"/>
    <w:rsid w:val="299407E6"/>
    <w:rsid w:val="299D3B3E"/>
    <w:rsid w:val="299E7928"/>
    <w:rsid w:val="29A70519"/>
    <w:rsid w:val="29C05E6C"/>
    <w:rsid w:val="29C535B3"/>
    <w:rsid w:val="29CE2DD2"/>
    <w:rsid w:val="29E03A2B"/>
    <w:rsid w:val="29E51041"/>
    <w:rsid w:val="2A150C53"/>
    <w:rsid w:val="2A1831C5"/>
    <w:rsid w:val="2A2878AC"/>
    <w:rsid w:val="2A5C781C"/>
    <w:rsid w:val="2A9F0C2C"/>
    <w:rsid w:val="2AA30015"/>
    <w:rsid w:val="2AB0164F"/>
    <w:rsid w:val="2AB47879"/>
    <w:rsid w:val="2AC5334C"/>
    <w:rsid w:val="2ACA2711"/>
    <w:rsid w:val="2ACC7E8A"/>
    <w:rsid w:val="2AD25A69"/>
    <w:rsid w:val="2AD73080"/>
    <w:rsid w:val="2AE5754B"/>
    <w:rsid w:val="2AEB08D9"/>
    <w:rsid w:val="2AEC6B2B"/>
    <w:rsid w:val="2AF459E0"/>
    <w:rsid w:val="2AF83194"/>
    <w:rsid w:val="2B0A6FB1"/>
    <w:rsid w:val="2B110340"/>
    <w:rsid w:val="2B1D622E"/>
    <w:rsid w:val="2B200583"/>
    <w:rsid w:val="2B2112AA"/>
    <w:rsid w:val="2B2D0EF2"/>
    <w:rsid w:val="2B2D4A4E"/>
    <w:rsid w:val="2B3C3044"/>
    <w:rsid w:val="2B3D0B29"/>
    <w:rsid w:val="2B466D12"/>
    <w:rsid w:val="2B4A1AA4"/>
    <w:rsid w:val="2B4D4BC5"/>
    <w:rsid w:val="2B4F2C16"/>
    <w:rsid w:val="2B82123D"/>
    <w:rsid w:val="2B836D64"/>
    <w:rsid w:val="2B8A00F2"/>
    <w:rsid w:val="2B911481"/>
    <w:rsid w:val="2B911BCD"/>
    <w:rsid w:val="2B9222AB"/>
    <w:rsid w:val="2BA07916"/>
    <w:rsid w:val="2BB9108D"/>
    <w:rsid w:val="2BBC2BF1"/>
    <w:rsid w:val="2BC929C8"/>
    <w:rsid w:val="2BC96E6C"/>
    <w:rsid w:val="2BDB26FC"/>
    <w:rsid w:val="2BF40C09"/>
    <w:rsid w:val="2C0E552D"/>
    <w:rsid w:val="2C0F4464"/>
    <w:rsid w:val="2C1D333E"/>
    <w:rsid w:val="2C30262C"/>
    <w:rsid w:val="2C497DDB"/>
    <w:rsid w:val="2C4E7372"/>
    <w:rsid w:val="2C5A14A4"/>
    <w:rsid w:val="2C624BCB"/>
    <w:rsid w:val="2C785CF3"/>
    <w:rsid w:val="2C7D1A05"/>
    <w:rsid w:val="2C815051"/>
    <w:rsid w:val="2C8965FC"/>
    <w:rsid w:val="2C934D84"/>
    <w:rsid w:val="2C954FA0"/>
    <w:rsid w:val="2C9F3729"/>
    <w:rsid w:val="2CA70915"/>
    <w:rsid w:val="2CB73169"/>
    <w:rsid w:val="2CB90C8F"/>
    <w:rsid w:val="2CBA67B5"/>
    <w:rsid w:val="2CC94C4A"/>
    <w:rsid w:val="2CCE6B43"/>
    <w:rsid w:val="2CE3040F"/>
    <w:rsid w:val="2CF241A1"/>
    <w:rsid w:val="2CF25F4F"/>
    <w:rsid w:val="2CF75313"/>
    <w:rsid w:val="2CFC6DCE"/>
    <w:rsid w:val="2D0363AE"/>
    <w:rsid w:val="2D0A773C"/>
    <w:rsid w:val="2D10796F"/>
    <w:rsid w:val="2D1129C3"/>
    <w:rsid w:val="2D1D0B8C"/>
    <w:rsid w:val="2D247504"/>
    <w:rsid w:val="2D412A32"/>
    <w:rsid w:val="2D4A2F08"/>
    <w:rsid w:val="2D4A6466"/>
    <w:rsid w:val="2D5D6575"/>
    <w:rsid w:val="2D6706EB"/>
    <w:rsid w:val="2D7921CC"/>
    <w:rsid w:val="2D957A25"/>
    <w:rsid w:val="2D984D48"/>
    <w:rsid w:val="2D9C7DBE"/>
    <w:rsid w:val="2DAC4350"/>
    <w:rsid w:val="2DC007B4"/>
    <w:rsid w:val="2DC23B73"/>
    <w:rsid w:val="2DCF44E2"/>
    <w:rsid w:val="2DD2385A"/>
    <w:rsid w:val="2DE03FF9"/>
    <w:rsid w:val="2DE47F8D"/>
    <w:rsid w:val="2DEC6E42"/>
    <w:rsid w:val="2DEF06E0"/>
    <w:rsid w:val="2E1414F5"/>
    <w:rsid w:val="2E17533E"/>
    <w:rsid w:val="2E1839F1"/>
    <w:rsid w:val="2E2C36E3"/>
    <w:rsid w:val="2E5F7614"/>
    <w:rsid w:val="2E632FCB"/>
    <w:rsid w:val="2E6932C2"/>
    <w:rsid w:val="2E6E3CFB"/>
    <w:rsid w:val="2E70537D"/>
    <w:rsid w:val="2E7126E3"/>
    <w:rsid w:val="2E7C01C6"/>
    <w:rsid w:val="2E8D23D3"/>
    <w:rsid w:val="2E8E614B"/>
    <w:rsid w:val="2EA923B3"/>
    <w:rsid w:val="2EAE2B92"/>
    <w:rsid w:val="2EC35DF5"/>
    <w:rsid w:val="2ECD6C74"/>
    <w:rsid w:val="2ECE02F6"/>
    <w:rsid w:val="2ECF0417"/>
    <w:rsid w:val="2ED27DE6"/>
    <w:rsid w:val="2ED4025B"/>
    <w:rsid w:val="2ED41D2F"/>
    <w:rsid w:val="2EE10029"/>
    <w:rsid w:val="2F0D407F"/>
    <w:rsid w:val="2F2C6A42"/>
    <w:rsid w:val="2F2E6FE6"/>
    <w:rsid w:val="2F450B6E"/>
    <w:rsid w:val="2F4A02C4"/>
    <w:rsid w:val="2F522CD5"/>
    <w:rsid w:val="2F546701"/>
    <w:rsid w:val="2F634EE2"/>
    <w:rsid w:val="2F6F1AD9"/>
    <w:rsid w:val="2F736E20"/>
    <w:rsid w:val="2F740E9D"/>
    <w:rsid w:val="2F745945"/>
    <w:rsid w:val="2F762E67"/>
    <w:rsid w:val="2F810B64"/>
    <w:rsid w:val="2F854E58"/>
    <w:rsid w:val="2F8B0FE4"/>
    <w:rsid w:val="2F9E23BE"/>
    <w:rsid w:val="2FAF0127"/>
    <w:rsid w:val="2FB23CE6"/>
    <w:rsid w:val="2FC040E2"/>
    <w:rsid w:val="2FC516F9"/>
    <w:rsid w:val="2FC71915"/>
    <w:rsid w:val="2FCC43B2"/>
    <w:rsid w:val="2FDC6A42"/>
    <w:rsid w:val="2FED0C50"/>
    <w:rsid w:val="2FF11A8B"/>
    <w:rsid w:val="30004E27"/>
    <w:rsid w:val="301F34FF"/>
    <w:rsid w:val="30271FBB"/>
    <w:rsid w:val="302D729E"/>
    <w:rsid w:val="302F3016"/>
    <w:rsid w:val="30316D8E"/>
    <w:rsid w:val="3033165E"/>
    <w:rsid w:val="303B7C0D"/>
    <w:rsid w:val="3041240B"/>
    <w:rsid w:val="30490E19"/>
    <w:rsid w:val="304C67C6"/>
    <w:rsid w:val="30542A7D"/>
    <w:rsid w:val="305B3E0B"/>
    <w:rsid w:val="305D7B83"/>
    <w:rsid w:val="30601421"/>
    <w:rsid w:val="30620C49"/>
    <w:rsid w:val="306F78B6"/>
    <w:rsid w:val="307422C7"/>
    <w:rsid w:val="307B6118"/>
    <w:rsid w:val="307E39A9"/>
    <w:rsid w:val="3082583C"/>
    <w:rsid w:val="308C2216"/>
    <w:rsid w:val="3098505F"/>
    <w:rsid w:val="30986E0D"/>
    <w:rsid w:val="309C6908"/>
    <w:rsid w:val="30B17ECF"/>
    <w:rsid w:val="30B30304"/>
    <w:rsid w:val="30BF083E"/>
    <w:rsid w:val="30C714A1"/>
    <w:rsid w:val="30CC7295"/>
    <w:rsid w:val="30D8545C"/>
    <w:rsid w:val="310A6A4A"/>
    <w:rsid w:val="3112597E"/>
    <w:rsid w:val="31152277"/>
    <w:rsid w:val="311C43E5"/>
    <w:rsid w:val="31223182"/>
    <w:rsid w:val="31262B61"/>
    <w:rsid w:val="312B5ED3"/>
    <w:rsid w:val="312F7772"/>
    <w:rsid w:val="31322DBE"/>
    <w:rsid w:val="313A1C72"/>
    <w:rsid w:val="3140197F"/>
    <w:rsid w:val="31772EC7"/>
    <w:rsid w:val="31975317"/>
    <w:rsid w:val="31A572D3"/>
    <w:rsid w:val="31B47C77"/>
    <w:rsid w:val="31BA5C46"/>
    <w:rsid w:val="31C12546"/>
    <w:rsid w:val="31CD1512"/>
    <w:rsid w:val="31E22A36"/>
    <w:rsid w:val="31E7004C"/>
    <w:rsid w:val="31F751B9"/>
    <w:rsid w:val="31F82AAF"/>
    <w:rsid w:val="31FA0811"/>
    <w:rsid w:val="32072B0C"/>
    <w:rsid w:val="320D13C4"/>
    <w:rsid w:val="32113E29"/>
    <w:rsid w:val="3216623C"/>
    <w:rsid w:val="32180206"/>
    <w:rsid w:val="321921D0"/>
    <w:rsid w:val="322A7F39"/>
    <w:rsid w:val="32370698"/>
    <w:rsid w:val="32476D3D"/>
    <w:rsid w:val="326A5F0A"/>
    <w:rsid w:val="32713DBA"/>
    <w:rsid w:val="32816C40"/>
    <w:rsid w:val="32905159"/>
    <w:rsid w:val="32972FC3"/>
    <w:rsid w:val="329830F5"/>
    <w:rsid w:val="329923FE"/>
    <w:rsid w:val="32A203C1"/>
    <w:rsid w:val="32AE0B6A"/>
    <w:rsid w:val="32AE2918"/>
    <w:rsid w:val="32BF68D3"/>
    <w:rsid w:val="32D8634E"/>
    <w:rsid w:val="32DE172B"/>
    <w:rsid w:val="32DF2AD1"/>
    <w:rsid w:val="32EB3B6C"/>
    <w:rsid w:val="33093FF2"/>
    <w:rsid w:val="330C763F"/>
    <w:rsid w:val="33182487"/>
    <w:rsid w:val="33192BD3"/>
    <w:rsid w:val="33246EBE"/>
    <w:rsid w:val="33296443"/>
    <w:rsid w:val="332E2F02"/>
    <w:rsid w:val="33354DE7"/>
    <w:rsid w:val="333746BC"/>
    <w:rsid w:val="334C648B"/>
    <w:rsid w:val="33540560"/>
    <w:rsid w:val="335C2374"/>
    <w:rsid w:val="33650639"/>
    <w:rsid w:val="33687871"/>
    <w:rsid w:val="33727DEA"/>
    <w:rsid w:val="338D077F"/>
    <w:rsid w:val="338E62A6"/>
    <w:rsid w:val="3392223A"/>
    <w:rsid w:val="339A635A"/>
    <w:rsid w:val="339E0BDF"/>
    <w:rsid w:val="33A1247D"/>
    <w:rsid w:val="33A25A1B"/>
    <w:rsid w:val="33AD0E22"/>
    <w:rsid w:val="33C062E2"/>
    <w:rsid w:val="33C30645"/>
    <w:rsid w:val="33CB74FA"/>
    <w:rsid w:val="33CF2B46"/>
    <w:rsid w:val="33D44600"/>
    <w:rsid w:val="33DB773D"/>
    <w:rsid w:val="33DD3477"/>
    <w:rsid w:val="33E34843"/>
    <w:rsid w:val="33ED2723"/>
    <w:rsid w:val="33F55B6E"/>
    <w:rsid w:val="33FA68B9"/>
    <w:rsid w:val="33FB393B"/>
    <w:rsid w:val="33FD7BDF"/>
    <w:rsid w:val="33FF3160"/>
    <w:rsid w:val="340B05C3"/>
    <w:rsid w:val="340B3A53"/>
    <w:rsid w:val="3422536C"/>
    <w:rsid w:val="342D3D10"/>
    <w:rsid w:val="342D5ABF"/>
    <w:rsid w:val="34302A6E"/>
    <w:rsid w:val="34441786"/>
    <w:rsid w:val="34442374"/>
    <w:rsid w:val="3460040C"/>
    <w:rsid w:val="346E55E0"/>
    <w:rsid w:val="34703188"/>
    <w:rsid w:val="3472138A"/>
    <w:rsid w:val="347329EC"/>
    <w:rsid w:val="34735BC7"/>
    <w:rsid w:val="34781430"/>
    <w:rsid w:val="347D07F4"/>
    <w:rsid w:val="34802092"/>
    <w:rsid w:val="3491331C"/>
    <w:rsid w:val="34A044E2"/>
    <w:rsid w:val="34B1049E"/>
    <w:rsid w:val="34B31314"/>
    <w:rsid w:val="34C94FC9"/>
    <w:rsid w:val="34D4418C"/>
    <w:rsid w:val="34DC7316"/>
    <w:rsid w:val="34DD74E5"/>
    <w:rsid w:val="34E02B63"/>
    <w:rsid w:val="34E21E6E"/>
    <w:rsid w:val="34EB1C02"/>
    <w:rsid w:val="34F678C3"/>
    <w:rsid w:val="34FA62E8"/>
    <w:rsid w:val="350536A0"/>
    <w:rsid w:val="350E58F0"/>
    <w:rsid w:val="35170C48"/>
    <w:rsid w:val="351729F7"/>
    <w:rsid w:val="3518676F"/>
    <w:rsid w:val="35282378"/>
    <w:rsid w:val="352C5D76"/>
    <w:rsid w:val="352E1AEE"/>
    <w:rsid w:val="35327830"/>
    <w:rsid w:val="35335357"/>
    <w:rsid w:val="353F588A"/>
    <w:rsid w:val="355157DD"/>
    <w:rsid w:val="3558300F"/>
    <w:rsid w:val="355B1BB7"/>
    <w:rsid w:val="35611EC4"/>
    <w:rsid w:val="356D6E6F"/>
    <w:rsid w:val="35717D1D"/>
    <w:rsid w:val="35867B7C"/>
    <w:rsid w:val="3589141A"/>
    <w:rsid w:val="35982E95"/>
    <w:rsid w:val="35A16764"/>
    <w:rsid w:val="35A703B0"/>
    <w:rsid w:val="35B02A74"/>
    <w:rsid w:val="35B5220F"/>
    <w:rsid w:val="35C1098C"/>
    <w:rsid w:val="35CA758B"/>
    <w:rsid w:val="35D330A6"/>
    <w:rsid w:val="35D42696"/>
    <w:rsid w:val="35D67A90"/>
    <w:rsid w:val="35E36D7D"/>
    <w:rsid w:val="35E6686D"/>
    <w:rsid w:val="35EB4569"/>
    <w:rsid w:val="35EC651F"/>
    <w:rsid w:val="35ED3757"/>
    <w:rsid w:val="35EE2687"/>
    <w:rsid w:val="35F26FC0"/>
    <w:rsid w:val="360A4309"/>
    <w:rsid w:val="3613754C"/>
    <w:rsid w:val="36146E6C"/>
    <w:rsid w:val="361C403D"/>
    <w:rsid w:val="36315D3A"/>
    <w:rsid w:val="36325B4D"/>
    <w:rsid w:val="363D4328"/>
    <w:rsid w:val="3647730B"/>
    <w:rsid w:val="365509A7"/>
    <w:rsid w:val="365732C7"/>
    <w:rsid w:val="3659622C"/>
    <w:rsid w:val="3667350A"/>
    <w:rsid w:val="36677938"/>
    <w:rsid w:val="36730100"/>
    <w:rsid w:val="3679148F"/>
    <w:rsid w:val="36820344"/>
    <w:rsid w:val="36853990"/>
    <w:rsid w:val="3699743B"/>
    <w:rsid w:val="369E2CA4"/>
    <w:rsid w:val="36A4650C"/>
    <w:rsid w:val="36AF6C5F"/>
    <w:rsid w:val="36B55988"/>
    <w:rsid w:val="36C00E6C"/>
    <w:rsid w:val="36D93027"/>
    <w:rsid w:val="36DD1A1E"/>
    <w:rsid w:val="36EF34FF"/>
    <w:rsid w:val="36FC3260"/>
    <w:rsid w:val="36FD7088"/>
    <w:rsid w:val="370012B5"/>
    <w:rsid w:val="37010B47"/>
    <w:rsid w:val="37076A9B"/>
    <w:rsid w:val="37164F30"/>
    <w:rsid w:val="37183EE3"/>
    <w:rsid w:val="371B2546"/>
    <w:rsid w:val="371F5B92"/>
    <w:rsid w:val="37203B76"/>
    <w:rsid w:val="37313B18"/>
    <w:rsid w:val="373659FB"/>
    <w:rsid w:val="375A7BFF"/>
    <w:rsid w:val="376143FD"/>
    <w:rsid w:val="37712166"/>
    <w:rsid w:val="37747743"/>
    <w:rsid w:val="37850692"/>
    <w:rsid w:val="3789228D"/>
    <w:rsid w:val="378C5C80"/>
    <w:rsid w:val="3797379F"/>
    <w:rsid w:val="37C329C2"/>
    <w:rsid w:val="37C342B8"/>
    <w:rsid w:val="37CB5D1A"/>
    <w:rsid w:val="37EA33B3"/>
    <w:rsid w:val="37ED5C91"/>
    <w:rsid w:val="37F05781"/>
    <w:rsid w:val="38060B00"/>
    <w:rsid w:val="380726AF"/>
    <w:rsid w:val="381B759E"/>
    <w:rsid w:val="3841654D"/>
    <w:rsid w:val="384855BD"/>
    <w:rsid w:val="385B0E4C"/>
    <w:rsid w:val="38787C50"/>
    <w:rsid w:val="387E6AA8"/>
    <w:rsid w:val="38821F74"/>
    <w:rsid w:val="388865CA"/>
    <w:rsid w:val="38926838"/>
    <w:rsid w:val="38975BFC"/>
    <w:rsid w:val="38AA5930"/>
    <w:rsid w:val="38AF1198"/>
    <w:rsid w:val="38B672B9"/>
    <w:rsid w:val="38C05153"/>
    <w:rsid w:val="38C42F04"/>
    <w:rsid w:val="38C56C0D"/>
    <w:rsid w:val="38C74734"/>
    <w:rsid w:val="38D020AB"/>
    <w:rsid w:val="38DE382B"/>
    <w:rsid w:val="38E54BBA"/>
    <w:rsid w:val="38EA5BB0"/>
    <w:rsid w:val="391E1E7A"/>
    <w:rsid w:val="39227BBC"/>
    <w:rsid w:val="392C27E9"/>
    <w:rsid w:val="39355C80"/>
    <w:rsid w:val="393618B9"/>
    <w:rsid w:val="3944716A"/>
    <w:rsid w:val="396445F3"/>
    <w:rsid w:val="396E1053"/>
    <w:rsid w:val="39706B79"/>
    <w:rsid w:val="39730EE3"/>
    <w:rsid w:val="397D1296"/>
    <w:rsid w:val="39805279"/>
    <w:rsid w:val="399F2FBB"/>
    <w:rsid w:val="399F4FFA"/>
    <w:rsid w:val="39A405D1"/>
    <w:rsid w:val="39A64751"/>
    <w:rsid w:val="39BC1DBE"/>
    <w:rsid w:val="39BF365D"/>
    <w:rsid w:val="39F80156"/>
    <w:rsid w:val="39FA4695"/>
    <w:rsid w:val="3A015A23"/>
    <w:rsid w:val="3A0C25E0"/>
    <w:rsid w:val="3A1C032F"/>
    <w:rsid w:val="3A1C0AAF"/>
    <w:rsid w:val="3A1F5EA9"/>
    <w:rsid w:val="3A2D2EB7"/>
    <w:rsid w:val="3A2D4A6A"/>
    <w:rsid w:val="3A410516"/>
    <w:rsid w:val="3A437DEA"/>
    <w:rsid w:val="3A460B68"/>
    <w:rsid w:val="3A4D0C68"/>
    <w:rsid w:val="3A5856C6"/>
    <w:rsid w:val="3A5A1053"/>
    <w:rsid w:val="3A6423C3"/>
    <w:rsid w:val="3A667F7C"/>
    <w:rsid w:val="3A6F0BDF"/>
    <w:rsid w:val="3A72247D"/>
    <w:rsid w:val="3A726921"/>
    <w:rsid w:val="3A810912"/>
    <w:rsid w:val="3A9350F9"/>
    <w:rsid w:val="3A976388"/>
    <w:rsid w:val="3AA06FEA"/>
    <w:rsid w:val="3AA178C1"/>
    <w:rsid w:val="3AA409CB"/>
    <w:rsid w:val="3AA95CE4"/>
    <w:rsid w:val="3AAB598F"/>
    <w:rsid w:val="3AAF547F"/>
    <w:rsid w:val="3AC84793"/>
    <w:rsid w:val="3AD46C94"/>
    <w:rsid w:val="3ADB2718"/>
    <w:rsid w:val="3AE0388B"/>
    <w:rsid w:val="3AE07F36"/>
    <w:rsid w:val="3AE113B1"/>
    <w:rsid w:val="3AE736A0"/>
    <w:rsid w:val="3AE8273F"/>
    <w:rsid w:val="3AF37A62"/>
    <w:rsid w:val="3AF47336"/>
    <w:rsid w:val="3AF70BD4"/>
    <w:rsid w:val="3AFB06C4"/>
    <w:rsid w:val="3B077E90"/>
    <w:rsid w:val="3B132EBB"/>
    <w:rsid w:val="3B1F5992"/>
    <w:rsid w:val="3B2B7AD2"/>
    <w:rsid w:val="3B2B7EC1"/>
    <w:rsid w:val="3B337E5E"/>
    <w:rsid w:val="3B4402BD"/>
    <w:rsid w:val="3B471B5C"/>
    <w:rsid w:val="3B64270E"/>
    <w:rsid w:val="3B660234"/>
    <w:rsid w:val="3B7939FB"/>
    <w:rsid w:val="3B893F22"/>
    <w:rsid w:val="3B8A5173"/>
    <w:rsid w:val="3B8C1BFB"/>
    <w:rsid w:val="3B9B64EF"/>
    <w:rsid w:val="3BA1126C"/>
    <w:rsid w:val="3BA26D92"/>
    <w:rsid w:val="3BE178BA"/>
    <w:rsid w:val="3BE41159"/>
    <w:rsid w:val="3C051559"/>
    <w:rsid w:val="3C2105FF"/>
    <w:rsid w:val="3C3976F6"/>
    <w:rsid w:val="3C3C15A4"/>
    <w:rsid w:val="3C4147FD"/>
    <w:rsid w:val="3C575DCE"/>
    <w:rsid w:val="3C65673D"/>
    <w:rsid w:val="3C6B7ACC"/>
    <w:rsid w:val="3C7F2DB6"/>
    <w:rsid w:val="3C8B637F"/>
    <w:rsid w:val="3C8D0246"/>
    <w:rsid w:val="3C9A5CBB"/>
    <w:rsid w:val="3C9F32D2"/>
    <w:rsid w:val="3CB23005"/>
    <w:rsid w:val="3CBA010B"/>
    <w:rsid w:val="3CC74C7B"/>
    <w:rsid w:val="3CDD587A"/>
    <w:rsid w:val="3CED6733"/>
    <w:rsid w:val="3CF07734"/>
    <w:rsid w:val="3D0221DE"/>
    <w:rsid w:val="3D0D2931"/>
    <w:rsid w:val="3D167A38"/>
    <w:rsid w:val="3D1A0960"/>
    <w:rsid w:val="3D3A5C68"/>
    <w:rsid w:val="3D453E79"/>
    <w:rsid w:val="3D580050"/>
    <w:rsid w:val="3D5D19CA"/>
    <w:rsid w:val="3D6562C9"/>
    <w:rsid w:val="3D6A7D83"/>
    <w:rsid w:val="3D767023"/>
    <w:rsid w:val="3D7E0810"/>
    <w:rsid w:val="3D811710"/>
    <w:rsid w:val="3D8632F4"/>
    <w:rsid w:val="3D9372DA"/>
    <w:rsid w:val="3D9D5A63"/>
    <w:rsid w:val="3DA908AC"/>
    <w:rsid w:val="3DBD17B8"/>
    <w:rsid w:val="3DC92CFC"/>
    <w:rsid w:val="3DCA49D6"/>
    <w:rsid w:val="3DD0408A"/>
    <w:rsid w:val="3DD52B3D"/>
    <w:rsid w:val="3DE2791A"/>
    <w:rsid w:val="3DE74F30"/>
    <w:rsid w:val="3DF41ED7"/>
    <w:rsid w:val="3DF77869"/>
    <w:rsid w:val="3DFC4E7F"/>
    <w:rsid w:val="3DFE0BF8"/>
    <w:rsid w:val="3E067AAC"/>
    <w:rsid w:val="3E145971"/>
    <w:rsid w:val="3E2B306F"/>
    <w:rsid w:val="3E3C54F5"/>
    <w:rsid w:val="3E4C10A6"/>
    <w:rsid w:val="3E4E3201"/>
    <w:rsid w:val="3E774506"/>
    <w:rsid w:val="3E90381A"/>
    <w:rsid w:val="3E9450B8"/>
    <w:rsid w:val="3E9B4698"/>
    <w:rsid w:val="3E9C2F87"/>
    <w:rsid w:val="3E9C3F6D"/>
    <w:rsid w:val="3EA42E21"/>
    <w:rsid w:val="3EA87CF1"/>
    <w:rsid w:val="3EBC6CF0"/>
    <w:rsid w:val="3EBE0387"/>
    <w:rsid w:val="3EC11C25"/>
    <w:rsid w:val="3EDB2CE7"/>
    <w:rsid w:val="3EE651E8"/>
    <w:rsid w:val="3EEF22EE"/>
    <w:rsid w:val="3F012022"/>
    <w:rsid w:val="3F013E38"/>
    <w:rsid w:val="3F06588A"/>
    <w:rsid w:val="3F122481"/>
    <w:rsid w:val="3F1539D7"/>
    <w:rsid w:val="3F1D32FF"/>
    <w:rsid w:val="3F1E3015"/>
    <w:rsid w:val="3F2A77CA"/>
    <w:rsid w:val="3F3146B5"/>
    <w:rsid w:val="3F365185"/>
    <w:rsid w:val="3F3B5533"/>
    <w:rsid w:val="3F4211EE"/>
    <w:rsid w:val="3F4A7E6C"/>
    <w:rsid w:val="3F512FA9"/>
    <w:rsid w:val="3F676F5D"/>
    <w:rsid w:val="3F763150"/>
    <w:rsid w:val="3F8A7BC9"/>
    <w:rsid w:val="3F8E016B"/>
    <w:rsid w:val="3F966C0E"/>
    <w:rsid w:val="3F9E50AA"/>
    <w:rsid w:val="3FA7706D"/>
    <w:rsid w:val="3FC25C55"/>
    <w:rsid w:val="3FC829C2"/>
    <w:rsid w:val="3FCF14CD"/>
    <w:rsid w:val="3FD44BBA"/>
    <w:rsid w:val="3FD57736"/>
    <w:rsid w:val="3FDA2F9E"/>
    <w:rsid w:val="3FEB280D"/>
    <w:rsid w:val="3FF22A5A"/>
    <w:rsid w:val="3FF266EA"/>
    <w:rsid w:val="3FFA719D"/>
    <w:rsid w:val="3FFD0578"/>
    <w:rsid w:val="40111499"/>
    <w:rsid w:val="40112738"/>
    <w:rsid w:val="4013025E"/>
    <w:rsid w:val="40311615"/>
    <w:rsid w:val="40491ED2"/>
    <w:rsid w:val="404C539D"/>
    <w:rsid w:val="404D7C48"/>
    <w:rsid w:val="4050500F"/>
    <w:rsid w:val="407A6D2B"/>
    <w:rsid w:val="408178BE"/>
    <w:rsid w:val="409A0980"/>
    <w:rsid w:val="40B76E3C"/>
    <w:rsid w:val="40BB2E9A"/>
    <w:rsid w:val="40C15B13"/>
    <w:rsid w:val="40CB41A0"/>
    <w:rsid w:val="40D37F90"/>
    <w:rsid w:val="40E65973"/>
    <w:rsid w:val="40F40090"/>
    <w:rsid w:val="40F462E2"/>
    <w:rsid w:val="4110479E"/>
    <w:rsid w:val="411374C6"/>
    <w:rsid w:val="412F048A"/>
    <w:rsid w:val="41322466"/>
    <w:rsid w:val="415D5C35"/>
    <w:rsid w:val="41820F87"/>
    <w:rsid w:val="418314DB"/>
    <w:rsid w:val="418D04DF"/>
    <w:rsid w:val="419453CF"/>
    <w:rsid w:val="419D4283"/>
    <w:rsid w:val="41AC1FA1"/>
    <w:rsid w:val="41B45A71"/>
    <w:rsid w:val="41C31810"/>
    <w:rsid w:val="41D63C39"/>
    <w:rsid w:val="4205007B"/>
    <w:rsid w:val="420662CD"/>
    <w:rsid w:val="420A03DA"/>
    <w:rsid w:val="421D6850"/>
    <w:rsid w:val="42283736"/>
    <w:rsid w:val="423050F8"/>
    <w:rsid w:val="423746D8"/>
    <w:rsid w:val="424010B3"/>
    <w:rsid w:val="424302DF"/>
    <w:rsid w:val="425A3F23"/>
    <w:rsid w:val="42624F2A"/>
    <w:rsid w:val="42784CF1"/>
    <w:rsid w:val="427C658F"/>
    <w:rsid w:val="42810BCA"/>
    <w:rsid w:val="42823479"/>
    <w:rsid w:val="42885319"/>
    <w:rsid w:val="42890CAC"/>
    <w:rsid w:val="428F6F0B"/>
    <w:rsid w:val="42A94EAA"/>
    <w:rsid w:val="42AB2039"/>
    <w:rsid w:val="42AD5BF9"/>
    <w:rsid w:val="42F223AD"/>
    <w:rsid w:val="42F8606C"/>
    <w:rsid w:val="4300762C"/>
    <w:rsid w:val="430A332D"/>
    <w:rsid w:val="431B5DA8"/>
    <w:rsid w:val="43291B47"/>
    <w:rsid w:val="4341223B"/>
    <w:rsid w:val="434150E2"/>
    <w:rsid w:val="434D2655"/>
    <w:rsid w:val="43543068"/>
    <w:rsid w:val="435F2079"/>
    <w:rsid w:val="436239D7"/>
    <w:rsid w:val="436F7EA2"/>
    <w:rsid w:val="43741014"/>
    <w:rsid w:val="437B05F4"/>
    <w:rsid w:val="437B4D47"/>
    <w:rsid w:val="437D25BE"/>
    <w:rsid w:val="438374A9"/>
    <w:rsid w:val="438F40A0"/>
    <w:rsid w:val="43A0005B"/>
    <w:rsid w:val="43C55D14"/>
    <w:rsid w:val="43C57AC2"/>
    <w:rsid w:val="43E53CC0"/>
    <w:rsid w:val="44182D17"/>
    <w:rsid w:val="44775260"/>
    <w:rsid w:val="447D039C"/>
    <w:rsid w:val="448671CA"/>
    <w:rsid w:val="4487121B"/>
    <w:rsid w:val="44894F93"/>
    <w:rsid w:val="44A44230"/>
    <w:rsid w:val="44A75419"/>
    <w:rsid w:val="44A91191"/>
    <w:rsid w:val="44B00772"/>
    <w:rsid w:val="44CD4E80"/>
    <w:rsid w:val="44D66572"/>
    <w:rsid w:val="44E977E0"/>
    <w:rsid w:val="450C5F03"/>
    <w:rsid w:val="452F3242"/>
    <w:rsid w:val="454E5E7D"/>
    <w:rsid w:val="45725A27"/>
    <w:rsid w:val="4577128F"/>
    <w:rsid w:val="459313C2"/>
    <w:rsid w:val="45A2210C"/>
    <w:rsid w:val="45E93F7A"/>
    <w:rsid w:val="45EA1A61"/>
    <w:rsid w:val="460D74FE"/>
    <w:rsid w:val="461D1E37"/>
    <w:rsid w:val="462074BE"/>
    <w:rsid w:val="465C35C1"/>
    <w:rsid w:val="46641814"/>
    <w:rsid w:val="46720BD5"/>
    <w:rsid w:val="467D0B27"/>
    <w:rsid w:val="467D28D5"/>
    <w:rsid w:val="46810B28"/>
    <w:rsid w:val="46821C9A"/>
    <w:rsid w:val="46AF05B5"/>
    <w:rsid w:val="46CE1383"/>
    <w:rsid w:val="46CE59EE"/>
    <w:rsid w:val="46CF57F3"/>
    <w:rsid w:val="46D02A05"/>
    <w:rsid w:val="46D3786E"/>
    <w:rsid w:val="46D97270"/>
    <w:rsid w:val="46E13A1B"/>
    <w:rsid w:val="46E40154"/>
    <w:rsid w:val="46E74B7D"/>
    <w:rsid w:val="46EB1390"/>
    <w:rsid w:val="46F030A7"/>
    <w:rsid w:val="46F32B98"/>
    <w:rsid w:val="46FA5CD4"/>
    <w:rsid w:val="4702556E"/>
    <w:rsid w:val="470923BB"/>
    <w:rsid w:val="47280A93"/>
    <w:rsid w:val="473867FC"/>
    <w:rsid w:val="473A07C7"/>
    <w:rsid w:val="47413C24"/>
    <w:rsid w:val="474541BB"/>
    <w:rsid w:val="475573AE"/>
    <w:rsid w:val="47562428"/>
    <w:rsid w:val="476C5E9B"/>
    <w:rsid w:val="477307ED"/>
    <w:rsid w:val="477D5A48"/>
    <w:rsid w:val="478D3529"/>
    <w:rsid w:val="47A10846"/>
    <w:rsid w:val="47B8578B"/>
    <w:rsid w:val="47C50090"/>
    <w:rsid w:val="47D26E2E"/>
    <w:rsid w:val="47D97FDF"/>
    <w:rsid w:val="47DD7AD0"/>
    <w:rsid w:val="47F210A1"/>
    <w:rsid w:val="47FC5A7C"/>
    <w:rsid w:val="48030BB8"/>
    <w:rsid w:val="48315726"/>
    <w:rsid w:val="48355FBF"/>
    <w:rsid w:val="483B516F"/>
    <w:rsid w:val="4849533A"/>
    <w:rsid w:val="484F26EE"/>
    <w:rsid w:val="484F3DFE"/>
    <w:rsid w:val="48580F04"/>
    <w:rsid w:val="48627FD5"/>
    <w:rsid w:val="488000B9"/>
    <w:rsid w:val="48831CF9"/>
    <w:rsid w:val="488C6A1C"/>
    <w:rsid w:val="48926A36"/>
    <w:rsid w:val="48A27815"/>
    <w:rsid w:val="48BE0390"/>
    <w:rsid w:val="48D32E33"/>
    <w:rsid w:val="48DB1B35"/>
    <w:rsid w:val="48E46C3C"/>
    <w:rsid w:val="490C7597"/>
    <w:rsid w:val="491577CD"/>
    <w:rsid w:val="4924529D"/>
    <w:rsid w:val="49317CB8"/>
    <w:rsid w:val="493354CD"/>
    <w:rsid w:val="493C0826"/>
    <w:rsid w:val="494D6749"/>
    <w:rsid w:val="495A6E05"/>
    <w:rsid w:val="495C2C76"/>
    <w:rsid w:val="4960336B"/>
    <w:rsid w:val="49634005"/>
    <w:rsid w:val="497F0FBC"/>
    <w:rsid w:val="497F36DF"/>
    <w:rsid w:val="49831FB1"/>
    <w:rsid w:val="49886629"/>
    <w:rsid w:val="49920446"/>
    <w:rsid w:val="49924E7D"/>
    <w:rsid w:val="49995C78"/>
    <w:rsid w:val="49B760FE"/>
    <w:rsid w:val="49D62A28"/>
    <w:rsid w:val="49E32EFF"/>
    <w:rsid w:val="49E8275C"/>
    <w:rsid w:val="49F96717"/>
    <w:rsid w:val="49FB248F"/>
    <w:rsid w:val="49FB27CB"/>
    <w:rsid w:val="49FC289D"/>
    <w:rsid w:val="4A103C3F"/>
    <w:rsid w:val="4A123335"/>
    <w:rsid w:val="4A1B7CF0"/>
    <w:rsid w:val="4A1E443F"/>
    <w:rsid w:val="4A200A4F"/>
    <w:rsid w:val="4A3B69AF"/>
    <w:rsid w:val="4A431740"/>
    <w:rsid w:val="4A4401D0"/>
    <w:rsid w:val="4A4B0101"/>
    <w:rsid w:val="4A69564B"/>
    <w:rsid w:val="4A7151AA"/>
    <w:rsid w:val="4A872847"/>
    <w:rsid w:val="4AA541A9"/>
    <w:rsid w:val="4AAF5D75"/>
    <w:rsid w:val="4AB368C6"/>
    <w:rsid w:val="4AB83EDC"/>
    <w:rsid w:val="4ABF5254"/>
    <w:rsid w:val="4AC57F39"/>
    <w:rsid w:val="4AE1552F"/>
    <w:rsid w:val="4AE9678B"/>
    <w:rsid w:val="4AF64A04"/>
    <w:rsid w:val="4AFC64BF"/>
    <w:rsid w:val="4AFC7884"/>
    <w:rsid w:val="4AFF47E8"/>
    <w:rsid w:val="4B047121"/>
    <w:rsid w:val="4B0610EB"/>
    <w:rsid w:val="4B0E49EA"/>
    <w:rsid w:val="4B0E7FA0"/>
    <w:rsid w:val="4B135E7E"/>
    <w:rsid w:val="4B182BCD"/>
    <w:rsid w:val="4B316422"/>
    <w:rsid w:val="4B455725"/>
    <w:rsid w:val="4B4E2A92"/>
    <w:rsid w:val="4B675191"/>
    <w:rsid w:val="4B6F6EB6"/>
    <w:rsid w:val="4B840EE1"/>
    <w:rsid w:val="4B892267"/>
    <w:rsid w:val="4BB02AA4"/>
    <w:rsid w:val="4BC845F3"/>
    <w:rsid w:val="4BCD049E"/>
    <w:rsid w:val="4BD44D46"/>
    <w:rsid w:val="4BD6650F"/>
    <w:rsid w:val="4BDC3E87"/>
    <w:rsid w:val="4BE27F8A"/>
    <w:rsid w:val="4BED22AB"/>
    <w:rsid w:val="4BF742DC"/>
    <w:rsid w:val="4C0118B3"/>
    <w:rsid w:val="4C066D31"/>
    <w:rsid w:val="4C0B5847"/>
    <w:rsid w:val="4C170309"/>
    <w:rsid w:val="4C1C049B"/>
    <w:rsid w:val="4C207F8B"/>
    <w:rsid w:val="4C286E40"/>
    <w:rsid w:val="4C2A0E0A"/>
    <w:rsid w:val="4C3337D0"/>
    <w:rsid w:val="4C417F01"/>
    <w:rsid w:val="4C5440D8"/>
    <w:rsid w:val="4C6C31D0"/>
    <w:rsid w:val="4C6F4A6E"/>
    <w:rsid w:val="4C73638C"/>
    <w:rsid w:val="4C7C718B"/>
    <w:rsid w:val="4C9702F9"/>
    <w:rsid w:val="4CB6269D"/>
    <w:rsid w:val="4CBB5F06"/>
    <w:rsid w:val="4CD34972"/>
    <w:rsid w:val="4CD60F91"/>
    <w:rsid w:val="4CD64AED"/>
    <w:rsid w:val="4CE447A4"/>
    <w:rsid w:val="4CE64369"/>
    <w:rsid w:val="4CED7F85"/>
    <w:rsid w:val="4CF11927"/>
    <w:rsid w:val="4CF17B79"/>
    <w:rsid w:val="4D001B6A"/>
    <w:rsid w:val="4D0943C4"/>
    <w:rsid w:val="4D0F1DAD"/>
    <w:rsid w:val="4D1C3FFA"/>
    <w:rsid w:val="4D2B308B"/>
    <w:rsid w:val="4D2E2B7B"/>
    <w:rsid w:val="4D3A32CE"/>
    <w:rsid w:val="4D4B7289"/>
    <w:rsid w:val="4D694D5E"/>
    <w:rsid w:val="4D74388D"/>
    <w:rsid w:val="4D810EFD"/>
    <w:rsid w:val="4D97427D"/>
    <w:rsid w:val="4D994499"/>
    <w:rsid w:val="4DA16EA9"/>
    <w:rsid w:val="4DB03590"/>
    <w:rsid w:val="4DB34E2F"/>
    <w:rsid w:val="4DBA61BD"/>
    <w:rsid w:val="4DBC30BE"/>
    <w:rsid w:val="4DC16DD5"/>
    <w:rsid w:val="4DC4528E"/>
    <w:rsid w:val="4DC808DA"/>
    <w:rsid w:val="4DD74341"/>
    <w:rsid w:val="4DE34FD2"/>
    <w:rsid w:val="4DE9156D"/>
    <w:rsid w:val="4DFA0CB0"/>
    <w:rsid w:val="4E031912"/>
    <w:rsid w:val="4E086F29"/>
    <w:rsid w:val="4E0F02B7"/>
    <w:rsid w:val="4E190CEF"/>
    <w:rsid w:val="4E192EE4"/>
    <w:rsid w:val="4E1A6C5C"/>
    <w:rsid w:val="4E1D34CB"/>
    <w:rsid w:val="4E1F5CAD"/>
    <w:rsid w:val="4E396D5A"/>
    <w:rsid w:val="4E6C395B"/>
    <w:rsid w:val="4E7652A2"/>
    <w:rsid w:val="4E7B188C"/>
    <w:rsid w:val="4E7C5B30"/>
    <w:rsid w:val="4E880069"/>
    <w:rsid w:val="4E8D38D2"/>
    <w:rsid w:val="4E93713A"/>
    <w:rsid w:val="4E9407BC"/>
    <w:rsid w:val="4E9B60C8"/>
    <w:rsid w:val="4EA07161"/>
    <w:rsid w:val="4EBB043F"/>
    <w:rsid w:val="4EC512BE"/>
    <w:rsid w:val="4EC70B92"/>
    <w:rsid w:val="4EC866B8"/>
    <w:rsid w:val="4EDB4BC8"/>
    <w:rsid w:val="4EF273F4"/>
    <w:rsid w:val="4F195165"/>
    <w:rsid w:val="4F244236"/>
    <w:rsid w:val="4F280AC8"/>
    <w:rsid w:val="4F2C42DF"/>
    <w:rsid w:val="4F4977F9"/>
    <w:rsid w:val="4F5A37B4"/>
    <w:rsid w:val="4F5B577E"/>
    <w:rsid w:val="4F5F0DCA"/>
    <w:rsid w:val="4F602D94"/>
    <w:rsid w:val="4F697E9B"/>
    <w:rsid w:val="4F796A50"/>
    <w:rsid w:val="4F8301B9"/>
    <w:rsid w:val="4F846A83"/>
    <w:rsid w:val="4F8E46D1"/>
    <w:rsid w:val="4F954961"/>
    <w:rsid w:val="4FA47125"/>
    <w:rsid w:val="4FA62E9D"/>
    <w:rsid w:val="4FAB1AAC"/>
    <w:rsid w:val="4FB70C06"/>
    <w:rsid w:val="4FC43323"/>
    <w:rsid w:val="4FC926E8"/>
    <w:rsid w:val="4FCB46B2"/>
    <w:rsid w:val="4FDC3A7E"/>
    <w:rsid w:val="4FE01F1D"/>
    <w:rsid w:val="4FE21A99"/>
    <w:rsid w:val="50256815"/>
    <w:rsid w:val="502618E8"/>
    <w:rsid w:val="502838B2"/>
    <w:rsid w:val="50373AF5"/>
    <w:rsid w:val="50416722"/>
    <w:rsid w:val="504D3319"/>
    <w:rsid w:val="50506965"/>
    <w:rsid w:val="5052092F"/>
    <w:rsid w:val="505C6D00"/>
    <w:rsid w:val="506A5C79"/>
    <w:rsid w:val="50772144"/>
    <w:rsid w:val="50792360"/>
    <w:rsid w:val="50960B0F"/>
    <w:rsid w:val="509E5922"/>
    <w:rsid w:val="50B03F31"/>
    <w:rsid w:val="50B738AB"/>
    <w:rsid w:val="50C730CB"/>
    <w:rsid w:val="50C80BF1"/>
    <w:rsid w:val="50E53B70"/>
    <w:rsid w:val="50EA5985"/>
    <w:rsid w:val="50F1639A"/>
    <w:rsid w:val="50F639B0"/>
    <w:rsid w:val="51087D24"/>
    <w:rsid w:val="510A118D"/>
    <w:rsid w:val="51316796"/>
    <w:rsid w:val="51404C2B"/>
    <w:rsid w:val="5147420C"/>
    <w:rsid w:val="51516E38"/>
    <w:rsid w:val="515C7CA2"/>
    <w:rsid w:val="516E106E"/>
    <w:rsid w:val="51723E6D"/>
    <w:rsid w:val="51782617"/>
    <w:rsid w:val="519D5BDA"/>
    <w:rsid w:val="519E7612"/>
    <w:rsid w:val="51C43DEC"/>
    <w:rsid w:val="51C5066C"/>
    <w:rsid w:val="51CD77F7"/>
    <w:rsid w:val="51CE0489"/>
    <w:rsid w:val="51E25CE3"/>
    <w:rsid w:val="51E71E6D"/>
    <w:rsid w:val="51FE0D6E"/>
    <w:rsid w:val="520420FD"/>
    <w:rsid w:val="52075749"/>
    <w:rsid w:val="520F675D"/>
    <w:rsid w:val="521045FE"/>
    <w:rsid w:val="521E6BB1"/>
    <w:rsid w:val="523227C6"/>
    <w:rsid w:val="52383B54"/>
    <w:rsid w:val="524D3CE7"/>
    <w:rsid w:val="52534B1A"/>
    <w:rsid w:val="52552958"/>
    <w:rsid w:val="525564B4"/>
    <w:rsid w:val="52855B8B"/>
    <w:rsid w:val="528A6DCB"/>
    <w:rsid w:val="528B1ED6"/>
    <w:rsid w:val="528F7C18"/>
    <w:rsid w:val="5290573F"/>
    <w:rsid w:val="5299416C"/>
    <w:rsid w:val="529A65BD"/>
    <w:rsid w:val="52A01EDE"/>
    <w:rsid w:val="52A3730B"/>
    <w:rsid w:val="52A37C23"/>
    <w:rsid w:val="52AF02BB"/>
    <w:rsid w:val="52B50C77"/>
    <w:rsid w:val="52BB45CE"/>
    <w:rsid w:val="52D03D8D"/>
    <w:rsid w:val="52D27384"/>
    <w:rsid w:val="52D603D9"/>
    <w:rsid w:val="52DC2732"/>
    <w:rsid w:val="52EE4E83"/>
    <w:rsid w:val="52FB52AE"/>
    <w:rsid w:val="5305612D"/>
    <w:rsid w:val="53095885"/>
    <w:rsid w:val="53095D6A"/>
    <w:rsid w:val="530A6E5C"/>
    <w:rsid w:val="53146370"/>
    <w:rsid w:val="531D5224"/>
    <w:rsid w:val="53210278"/>
    <w:rsid w:val="532742F5"/>
    <w:rsid w:val="532760A3"/>
    <w:rsid w:val="532C36B9"/>
    <w:rsid w:val="533E33EC"/>
    <w:rsid w:val="53542C10"/>
    <w:rsid w:val="535E4FF9"/>
    <w:rsid w:val="53610DA9"/>
    <w:rsid w:val="53670B95"/>
    <w:rsid w:val="536A616D"/>
    <w:rsid w:val="538A03E0"/>
    <w:rsid w:val="53953895"/>
    <w:rsid w:val="539A143D"/>
    <w:rsid w:val="539B25ED"/>
    <w:rsid w:val="53A44BEF"/>
    <w:rsid w:val="53AB6CD4"/>
    <w:rsid w:val="53B06D76"/>
    <w:rsid w:val="53B164FF"/>
    <w:rsid w:val="53B70B52"/>
    <w:rsid w:val="53C33A31"/>
    <w:rsid w:val="53C63F94"/>
    <w:rsid w:val="53D1600F"/>
    <w:rsid w:val="53D37B83"/>
    <w:rsid w:val="53D849A8"/>
    <w:rsid w:val="53F14604"/>
    <w:rsid w:val="53F65A75"/>
    <w:rsid w:val="53FD3BAA"/>
    <w:rsid w:val="54053853"/>
    <w:rsid w:val="541434DF"/>
    <w:rsid w:val="541668D5"/>
    <w:rsid w:val="54240834"/>
    <w:rsid w:val="543770F8"/>
    <w:rsid w:val="543C3DD0"/>
    <w:rsid w:val="545253A1"/>
    <w:rsid w:val="545A6004"/>
    <w:rsid w:val="546D3F89"/>
    <w:rsid w:val="54774713"/>
    <w:rsid w:val="5481389E"/>
    <w:rsid w:val="54931516"/>
    <w:rsid w:val="54996B2C"/>
    <w:rsid w:val="54A36D56"/>
    <w:rsid w:val="54AB461B"/>
    <w:rsid w:val="54B40BFB"/>
    <w:rsid w:val="54BC76BF"/>
    <w:rsid w:val="54BF4D86"/>
    <w:rsid w:val="54C31DFB"/>
    <w:rsid w:val="54D1285E"/>
    <w:rsid w:val="54D83366"/>
    <w:rsid w:val="54E337C4"/>
    <w:rsid w:val="54EA7388"/>
    <w:rsid w:val="54F22A19"/>
    <w:rsid w:val="54FE36F2"/>
    <w:rsid w:val="54FF095A"/>
    <w:rsid w:val="55005F26"/>
    <w:rsid w:val="55006BAB"/>
    <w:rsid w:val="550B72FE"/>
    <w:rsid w:val="551268DF"/>
    <w:rsid w:val="55172147"/>
    <w:rsid w:val="5527575F"/>
    <w:rsid w:val="553B4B8E"/>
    <w:rsid w:val="553B5E36"/>
    <w:rsid w:val="554B4D08"/>
    <w:rsid w:val="555063EB"/>
    <w:rsid w:val="555E27E7"/>
    <w:rsid w:val="556415F3"/>
    <w:rsid w:val="556A671B"/>
    <w:rsid w:val="556C5FEF"/>
    <w:rsid w:val="556E7FB9"/>
    <w:rsid w:val="55774994"/>
    <w:rsid w:val="558D0DCD"/>
    <w:rsid w:val="55914263"/>
    <w:rsid w:val="559519EA"/>
    <w:rsid w:val="559612BE"/>
    <w:rsid w:val="55A5225D"/>
    <w:rsid w:val="55A537B1"/>
    <w:rsid w:val="55B02A26"/>
    <w:rsid w:val="55C90B16"/>
    <w:rsid w:val="55D32512"/>
    <w:rsid w:val="55E93AE3"/>
    <w:rsid w:val="55F12998"/>
    <w:rsid w:val="56024FD4"/>
    <w:rsid w:val="56064695"/>
    <w:rsid w:val="560C4951"/>
    <w:rsid w:val="5621327D"/>
    <w:rsid w:val="562C58C7"/>
    <w:rsid w:val="562F7AA7"/>
    <w:rsid w:val="56307F1D"/>
    <w:rsid w:val="56350AD7"/>
    <w:rsid w:val="563A0C06"/>
    <w:rsid w:val="563A433F"/>
    <w:rsid w:val="563B3C13"/>
    <w:rsid w:val="56431446"/>
    <w:rsid w:val="56617B1E"/>
    <w:rsid w:val="56680EAC"/>
    <w:rsid w:val="56694C24"/>
    <w:rsid w:val="56815ACA"/>
    <w:rsid w:val="5684416B"/>
    <w:rsid w:val="56867584"/>
    <w:rsid w:val="569D17FB"/>
    <w:rsid w:val="56A906C7"/>
    <w:rsid w:val="56B12842"/>
    <w:rsid w:val="56BA5480"/>
    <w:rsid w:val="56C43C09"/>
    <w:rsid w:val="56C87B9D"/>
    <w:rsid w:val="56D26326"/>
    <w:rsid w:val="56DC53F6"/>
    <w:rsid w:val="56DF6C95"/>
    <w:rsid w:val="56EC414A"/>
    <w:rsid w:val="56ED7603"/>
    <w:rsid w:val="5705494D"/>
    <w:rsid w:val="57134B64"/>
    <w:rsid w:val="57154464"/>
    <w:rsid w:val="573B383F"/>
    <w:rsid w:val="573C5E95"/>
    <w:rsid w:val="576E35AE"/>
    <w:rsid w:val="5785783C"/>
    <w:rsid w:val="57962C69"/>
    <w:rsid w:val="579B2BBB"/>
    <w:rsid w:val="57AB6865"/>
    <w:rsid w:val="57C33EC0"/>
    <w:rsid w:val="57C57C38"/>
    <w:rsid w:val="57C8774C"/>
    <w:rsid w:val="57E74754"/>
    <w:rsid w:val="57FB5D50"/>
    <w:rsid w:val="57FF1E86"/>
    <w:rsid w:val="58062D10"/>
    <w:rsid w:val="58134E48"/>
    <w:rsid w:val="581D5CC6"/>
    <w:rsid w:val="58207565"/>
    <w:rsid w:val="583152CE"/>
    <w:rsid w:val="58490869"/>
    <w:rsid w:val="58523BC2"/>
    <w:rsid w:val="585F008D"/>
    <w:rsid w:val="586410CB"/>
    <w:rsid w:val="586F796C"/>
    <w:rsid w:val="587A2E6A"/>
    <w:rsid w:val="587F24DD"/>
    <w:rsid w:val="588B2C30"/>
    <w:rsid w:val="58984BC1"/>
    <w:rsid w:val="58AE0E55"/>
    <w:rsid w:val="58CF7BD7"/>
    <w:rsid w:val="58DF2F7C"/>
    <w:rsid w:val="58E42340"/>
    <w:rsid w:val="58E97957"/>
    <w:rsid w:val="58F070CC"/>
    <w:rsid w:val="58FD31FE"/>
    <w:rsid w:val="590429E2"/>
    <w:rsid w:val="590B03C5"/>
    <w:rsid w:val="592941F7"/>
    <w:rsid w:val="59294788"/>
    <w:rsid w:val="5932798A"/>
    <w:rsid w:val="593C2000"/>
    <w:rsid w:val="593D4460"/>
    <w:rsid w:val="593E5EF4"/>
    <w:rsid w:val="59484FC5"/>
    <w:rsid w:val="594A6647"/>
    <w:rsid w:val="59527BF2"/>
    <w:rsid w:val="59822285"/>
    <w:rsid w:val="598A2EE8"/>
    <w:rsid w:val="599E075E"/>
    <w:rsid w:val="59A07D9A"/>
    <w:rsid w:val="59A673BE"/>
    <w:rsid w:val="59AF294E"/>
    <w:rsid w:val="59BB1895"/>
    <w:rsid w:val="59CE54CA"/>
    <w:rsid w:val="59D10B16"/>
    <w:rsid w:val="59E06FAB"/>
    <w:rsid w:val="59E44CEE"/>
    <w:rsid w:val="59E92304"/>
    <w:rsid w:val="5A010086"/>
    <w:rsid w:val="5A026F22"/>
    <w:rsid w:val="5A033D79"/>
    <w:rsid w:val="5A0377FB"/>
    <w:rsid w:val="5A0F163F"/>
    <w:rsid w:val="5A166E71"/>
    <w:rsid w:val="5A1F7AD4"/>
    <w:rsid w:val="5A2A6479"/>
    <w:rsid w:val="5A2E0476"/>
    <w:rsid w:val="5A2F2C71"/>
    <w:rsid w:val="5A355549"/>
    <w:rsid w:val="5A816620"/>
    <w:rsid w:val="5A9009D2"/>
    <w:rsid w:val="5A955FE8"/>
    <w:rsid w:val="5A9D6C4B"/>
    <w:rsid w:val="5AA239ED"/>
    <w:rsid w:val="5AA4447D"/>
    <w:rsid w:val="5AE468D4"/>
    <w:rsid w:val="5AE76118"/>
    <w:rsid w:val="5AEE56F8"/>
    <w:rsid w:val="5AFB13A2"/>
    <w:rsid w:val="5AFD593B"/>
    <w:rsid w:val="5B11046D"/>
    <w:rsid w:val="5B1D480B"/>
    <w:rsid w:val="5B1F1D55"/>
    <w:rsid w:val="5B266C40"/>
    <w:rsid w:val="5B307ABF"/>
    <w:rsid w:val="5B394BC5"/>
    <w:rsid w:val="5B441028"/>
    <w:rsid w:val="5B461090"/>
    <w:rsid w:val="5B595267"/>
    <w:rsid w:val="5B6F05E7"/>
    <w:rsid w:val="5B7C4AB2"/>
    <w:rsid w:val="5B9A3615"/>
    <w:rsid w:val="5B9A46F8"/>
    <w:rsid w:val="5BA04C44"/>
    <w:rsid w:val="5BB71F8E"/>
    <w:rsid w:val="5BCE4792"/>
    <w:rsid w:val="5BE56AFB"/>
    <w:rsid w:val="5C0351D3"/>
    <w:rsid w:val="5C1002DC"/>
    <w:rsid w:val="5C164A3C"/>
    <w:rsid w:val="5C2C297C"/>
    <w:rsid w:val="5C2E2250"/>
    <w:rsid w:val="5C337866"/>
    <w:rsid w:val="5C371C4A"/>
    <w:rsid w:val="5C3D34C1"/>
    <w:rsid w:val="5C583771"/>
    <w:rsid w:val="5C5F68AD"/>
    <w:rsid w:val="5C643EC4"/>
    <w:rsid w:val="5C690F2A"/>
    <w:rsid w:val="5C702869"/>
    <w:rsid w:val="5C7D3BDD"/>
    <w:rsid w:val="5C80388C"/>
    <w:rsid w:val="5CA0714E"/>
    <w:rsid w:val="5CA743A0"/>
    <w:rsid w:val="5CAF2391"/>
    <w:rsid w:val="5CB12E81"/>
    <w:rsid w:val="5CBA7D99"/>
    <w:rsid w:val="5CCC3817"/>
    <w:rsid w:val="5CD728E8"/>
    <w:rsid w:val="5CDA5219"/>
    <w:rsid w:val="5CF54B1C"/>
    <w:rsid w:val="5CFE5EA8"/>
    <w:rsid w:val="5CFF3BED"/>
    <w:rsid w:val="5D046951"/>
    <w:rsid w:val="5D090EAB"/>
    <w:rsid w:val="5D1221E4"/>
    <w:rsid w:val="5D153410"/>
    <w:rsid w:val="5D274BB6"/>
    <w:rsid w:val="5D407AD5"/>
    <w:rsid w:val="5D465377"/>
    <w:rsid w:val="5D5418FE"/>
    <w:rsid w:val="5D557EC3"/>
    <w:rsid w:val="5D6A41D1"/>
    <w:rsid w:val="5D720862"/>
    <w:rsid w:val="5D9E51B4"/>
    <w:rsid w:val="5DA051F4"/>
    <w:rsid w:val="5DB46129"/>
    <w:rsid w:val="5DB67A98"/>
    <w:rsid w:val="5DBA7B13"/>
    <w:rsid w:val="5DD46E27"/>
    <w:rsid w:val="5DD92690"/>
    <w:rsid w:val="5DE66B5A"/>
    <w:rsid w:val="5DEA21A7"/>
    <w:rsid w:val="5E03770C"/>
    <w:rsid w:val="5E0D40E7"/>
    <w:rsid w:val="5E192A8C"/>
    <w:rsid w:val="5E1D62E0"/>
    <w:rsid w:val="5E2356B9"/>
    <w:rsid w:val="5E2C7A84"/>
    <w:rsid w:val="5E305AC0"/>
    <w:rsid w:val="5E59187D"/>
    <w:rsid w:val="5E5B12F6"/>
    <w:rsid w:val="5E6957C1"/>
    <w:rsid w:val="5E896574"/>
    <w:rsid w:val="5E931CBE"/>
    <w:rsid w:val="5E993DAA"/>
    <w:rsid w:val="5E9D34E8"/>
    <w:rsid w:val="5EAC3900"/>
    <w:rsid w:val="5EAC56AE"/>
    <w:rsid w:val="5ECA1FD8"/>
    <w:rsid w:val="5ECA3D86"/>
    <w:rsid w:val="5ECD7B33"/>
    <w:rsid w:val="5EDE3BFC"/>
    <w:rsid w:val="5EE9582C"/>
    <w:rsid w:val="5EEC0A1B"/>
    <w:rsid w:val="5EEE3F19"/>
    <w:rsid w:val="5EF446BC"/>
    <w:rsid w:val="5EF62DCD"/>
    <w:rsid w:val="5EF84D97"/>
    <w:rsid w:val="5EFB45F8"/>
    <w:rsid w:val="5F040AC4"/>
    <w:rsid w:val="5F125E59"/>
    <w:rsid w:val="5F1D035A"/>
    <w:rsid w:val="5F221E14"/>
    <w:rsid w:val="5F2370DE"/>
    <w:rsid w:val="5F2D2C93"/>
    <w:rsid w:val="5F3403DA"/>
    <w:rsid w:val="5F427DC1"/>
    <w:rsid w:val="5F583033"/>
    <w:rsid w:val="5F5A0152"/>
    <w:rsid w:val="5F7408C2"/>
    <w:rsid w:val="5F8C39E4"/>
    <w:rsid w:val="5FAD5B82"/>
    <w:rsid w:val="5FB46F10"/>
    <w:rsid w:val="5FC56EB7"/>
    <w:rsid w:val="5FCD1D80"/>
    <w:rsid w:val="5FCD7FD2"/>
    <w:rsid w:val="5FD56E87"/>
    <w:rsid w:val="5FD70E51"/>
    <w:rsid w:val="5FDC6F9A"/>
    <w:rsid w:val="5FE47AF1"/>
    <w:rsid w:val="5FE84E0C"/>
    <w:rsid w:val="5FEF1CF6"/>
    <w:rsid w:val="5FF02E9D"/>
    <w:rsid w:val="5FF4627E"/>
    <w:rsid w:val="601C5F42"/>
    <w:rsid w:val="601D6507"/>
    <w:rsid w:val="602A5424"/>
    <w:rsid w:val="603C008C"/>
    <w:rsid w:val="603D591F"/>
    <w:rsid w:val="60410761"/>
    <w:rsid w:val="604F09E7"/>
    <w:rsid w:val="60536729"/>
    <w:rsid w:val="605F7014"/>
    <w:rsid w:val="60675D31"/>
    <w:rsid w:val="60761DBF"/>
    <w:rsid w:val="60786205"/>
    <w:rsid w:val="6085265B"/>
    <w:rsid w:val="60874625"/>
    <w:rsid w:val="608E59B3"/>
    <w:rsid w:val="608F5287"/>
    <w:rsid w:val="60B30F76"/>
    <w:rsid w:val="60C43183"/>
    <w:rsid w:val="60C66314"/>
    <w:rsid w:val="60C82547"/>
    <w:rsid w:val="60CC64DC"/>
    <w:rsid w:val="60CE5DB0"/>
    <w:rsid w:val="60D72BFD"/>
    <w:rsid w:val="60E003F6"/>
    <w:rsid w:val="60E92BEA"/>
    <w:rsid w:val="60EA59BC"/>
    <w:rsid w:val="61045C75"/>
    <w:rsid w:val="61151C31"/>
    <w:rsid w:val="61220CAC"/>
    <w:rsid w:val="612B0C0C"/>
    <w:rsid w:val="613528A4"/>
    <w:rsid w:val="61665FE8"/>
    <w:rsid w:val="617E0DE9"/>
    <w:rsid w:val="61D2367E"/>
    <w:rsid w:val="61D34BD1"/>
    <w:rsid w:val="61F21F72"/>
    <w:rsid w:val="620D6DAC"/>
    <w:rsid w:val="62291AD7"/>
    <w:rsid w:val="622C5484"/>
    <w:rsid w:val="622D2FAA"/>
    <w:rsid w:val="623460E6"/>
    <w:rsid w:val="623B56C7"/>
    <w:rsid w:val="623E6F65"/>
    <w:rsid w:val="624A76B8"/>
    <w:rsid w:val="627732CB"/>
    <w:rsid w:val="628A3F58"/>
    <w:rsid w:val="628C34D3"/>
    <w:rsid w:val="62991FE0"/>
    <w:rsid w:val="629B7F14"/>
    <w:rsid w:val="62AA2731"/>
    <w:rsid w:val="62C268F1"/>
    <w:rsid w:val="62D13935"/>
    <w:rsid w:val="62E66672"/>
    <w:rsid w:val="62E93375"/>
    <w:rsid w:val="62F12229"/>
    <w:rsid w:val="62F31AFE"/>
    <w:rsid w:val="6305747E"/>
    <w:rsid w:val="63071A4D"/>
    <w:rsid w:val="630E587E"/>
    <w:rsid w:val="630F26B0"/>
    <w:rsid w:val="631B52B1"/>
    <w:rsid w:val="63230A31"/>
    <w:rsid w:val="6324615B"/>
    <w:rsid w:val="63247F09"/>
    <w:rsid w:val="63293CF4"/>
    <w:rsid w:val="63304ADA"/>
    <w:rsid w:val="63343EC4"/>
    <w:rsid w:val="633769A9"/>
    <w:rsid w:val="633C122A"/>
    <w:rsid w:val="63402869"/>
    <w:rsid w:val="634B03EC"/>
    <w:rsid w:val="636C7B02"/>
    <w:rsid w:val="636F7BF7"/>
    <w:rsid w:val="6372336A"/>
    <w:rsid w:val="6377272F"/>
    <w:rsid w:val="637C31BE"/>
    <w:rsid w:val="638906B4"/>
    <w:rsid w:val="63992A1B"/>
    <w:rsid w:val="63AB76CB"/>
    <w:rsid w:val="63AD6150"/>
    <w:rsid w:val="63B35731"/>
    <w:rsid w:val="63CD4FBB"/>
    <w:rsid w:val="63DC6A36"/>
    <w:rsid w:val="64007CDB"/>
    <w:rsid w:val="6404272F"/>
    <w:rsid w:val="640E2967"/>
    <w:rsid w:val="64155AA4"/>
    <w:rsid w:val="64195594"/>
    <w:rsid w:val="642B45B1"/>
    <w:rsid w:val="64314722"/>
    <w:rsid w:val="644C3BBB"/>
    <w:rsid w:val="644F7208"/>
    <w:rsid w:val="64544042"/>
    <w:rsid w:val="64572560"/>
    <w:rsid w:val="64575BF2"/>
    <w:rsid w:val="646C600B"/>
    <w:rsid w:val="64754794"/>
    <w:rsid w:val="647A4942"/>
    <w:rsid w:val="647B7FFD"/>
    <w:rsid w:val="648079FC"/>
    <w:rsid w:val="648809B2"/>
    <w:rsid w:val="648E0D65"/>
    <w:rsid w:val="649317EA"/>
    <w:rsid w:val="6493527C"/>
    <w:rsid w:val="64AD2AA7"/>
    <w:rsid w:val="64AE2BBE"/>
    <w:rsid w:val="64C9520C"/>
    <w:rsid w:val="64D67929"/>
    <w:rsid w:val="64DB6CED"/>
    <w:rsid w:val="64E2007C"/>
    <w:rsid w:val="65055B18"/>
    <w:rsid w:val="650979D3"/>
    <w:rsid w:val="651421FF"/>
    <w:rsid w:val="653A7EB8"/>
    <w:rsid w:val="653F54CE"/>
    <w:rsid w:val="654131DA"/>
    <w:rsid w:val="654C7BEB"/>
    <w:rsid w:val="655479F8"/>
    <w:rsid w:val="65652A5B"/>
    <w:rsid w:val="656E5DB3"/>
    <w:rsid w:val="65744A4C"/>
    <w:rsid w:val="657D1B52"/>
    <w:rsid w:val="65896749"/>
    <w:rsid w:val="658B26C3"/>
    <w:rsid w:val="659A2704"/>
    <w:rsid w:val="659B2D75"/>
    <w:rsid w:val="659F41BF"/>
    <w:rsid w:val="65A45331"/>
    <w:rsid w:val="65B754EE"/>
    <w:rsid w:val="65BD2897"/>
    <w:rsid w:val="65C43C25"/>
    <w:rsid w:val="65D04378"/>
    <w:rsid w:val="65E63B9C"/>
    <w:rsid w:val="65EC0A86"/>
    <w:rsid w:val="66091638"/>
    <w:rsid w:val="660B3602"/>
    <w:rsid w:val="6624556D"/>
    <w:rsid w:val="663743F7"/>
    <w:rsid w:val="665C3E5E"/>
    <w:rsid w:val="666E78BB"/>
    <w:rsid w:val="668120DB"/>
    <w:rsid w:val="669960F6"/>
    <w:rsid w:val="66A658E8"/>
    <w:rsid w:val="66AE3C2E"/>
    <w:rsid w:val="66B028AC"/>
    <w:rsid w:val="66B23A7E"/>
    <w:rsid w:val="66C51A03"/>
    <w:rsid w:val="66CA0DC7"/>
    <w:rsid w:val="66CB7E92"/>
    <w:rsid w:val="66D30F33"/>
    <w:rsid w:val="66DB6DE2"/>
    <w:rsid w:val="66DC0AFB"/>
    <w:rsid w:val="66EB6240"/>
    <w:rsid w:val="66EC51E2"/>
    <w:rsid w:val="67193823"/>
    <w:rsid w:val="67206C39"/>
    <w:rsid w:val="672D4601"/>
    <w:rsid w:val="67443B4A"/>
    <w:rsid w:val="674C0924"/>
    <w:rsid w:val="674F751F"/>
    <w:rsid w:val="675774CC"/>
    <w:rsid w:val="676A4358"/>
    <w:rsid w:val="67717495"/>
    <w:rsid w:val="677E1BB2"/>
    <w:rsid w:val="678371C8"/>
    <w:rsid w:val="67874F0A"/>
    <w:rsid w:val="678B49FB"/>
    <w:rsid w:val="679F04A6"/>
    <w:rsid w:val="67A07071"/>
    <w:rsid w:val="67BA7CD0"/>
    <w:rsid w:val="67BB4BB4"/>
    <w:rsid w:val="67C1041C"/>
    <w:rsid w:val="67C472B9"/>
    <w:rsid w:val="67C65A33"/>
    <w:rsid w:val="67C972D1"/>
    <w:rsid w:val="67CA4A29"/>
    <w:rsid w:val="67CE48E7"/>
    <w:rsid w:val="67D57A24"/>
    <w:rsid w:val="67EB36EB"/>
    <w:rsid w:val="67F307F2"/>
    <w:rsid w:val="67F931B2"/>
    <w:rsid w:val="67FC1454"/>
    <w:rsid w:val="68016A6B"/>
    <w:rsid w:val="68070B84"/>
    <w:rsid w:val="68136565"/>
    <w:rsid w:val="681C38A5"/>
    <w:rsid w:val="681F3395"/>
    <w:rsid w:val="68336E43"/>
    <w:rsid w:val="68352BB8"/>
    <w:rsid w:val="6836496C"/>
    <w:rsid w:val="68415F73"/>
    <w:rsid w:val="68536C47"/>
    <w:rsid w:val="685A261F"/>
    <w:rsid w:val="68662D72"/>
    <w:rsid w:val="68680919"/>
    <w:rsid w:val="68817BAC"/>
    <w:rsid w:val="6892315D"/>
    <w:rsid w:val="68994EF5"/>
    <w:rsid w:val="689B6EBF"/>
    <w:rsid w:val="68A768B9"/>
    <w:rsid w:val="68AB4C28"/>
    <w:rsid w:val="68B95597"/>
    <w:rsid w:val="68BB30BE"/>
    <w:rsid w:val="68D04DC4"/>
    <w:rsid w:val="68D0643D"/>
    <w:rsid w:val="68E36170"/>
    <w:rsid w:val="68F77E6E"/>
    <w:rsid w:val="68FE2FAA"/>
    <w:rsid w:val="69004F74"/>
    <w:rsid w:val="69096BB1"/>
    <w:rsid w:val="691D5D30"/>
    <w:rsid w:val="691E6231"/>
    <w:rsid w:val="692E71CC"/>
    <w:rsid w:val="693C61FA"/>
    <w:rsid w:val="694A2693"/>
    <w:rsid w:val="6953779A"/>
    <w:rsid w:val="695C304C"/>
    <w:rsid w:val="696279DD"/>
    <w:rsid w:val="69676F39"/>
    <w:rsid w:val="696B331F"/>
    <w:rsid w:val="69780FAF"/>
    <w:rsid w:val="697A346E"/>
    <w:rsid w:val="69803F46"/>
    <w:rsid w:val="699833FF"/>
    <w:rsid w:val="69A73642"/>
    <w:rsid w:val="69B83AA1"/>
    <w:rsid w:val="69C064B2"/>
    <w:rsid w:val="69CE0BCF"/>
    <w:rsid w:val="69D87C9F"/>
    <w:rsid w:val="69E71F70"/>
    <w:rsid w:val="6A136F29"/>
    <w:rsid w:val="6A1F091A"/>
    <w:rsid w:val="6A2D51BC"/>
    <w:rsid w:val="6A366774"/>
    <w:rsid w:val="6A590DE0"/>
    <w:rsid w:val="6A611A43"/>
    <w:rsid w:val="6A624724"/>
    <w:rsid w:val="6A6908F7"/>
    <w:rsid w:val="6A7A0D56"/>
    <w:rsid w:val="6A7A48B2"/>
    <w:rsid w:val="6A85761F"/>
    <w:rsid w:val="6A8F4802"/>
    <w:rsid w:val="6A902328"/>
    <w:rsid w:val="6A9E67C8"/>
    <w:rsid w:val="6ABD5E61"/>
    <w:rsid w:val="6ABE0C43"/>
    <w:rsid w:val="6ACA67EA"/>
    <w:rsid w:val="6ACB15B2"/>
    <w:rsid w:val="6AD246EE"/>
    <w:rsid w:val="6AD466B8"/>
    <w:rsid w:val="6AE61F48"/>
    <w:rsid w:val="6B1E7934"/>
    <w:rsid w:val="6B2A0087"/>
    <w:rsid w:val="6B2A197B"/>
    <w:rsid w:val="6B3709F5"/>
    <w:rsid w:val="6B391D9A"/>
    <w:rsid w:val="6B4856BF"/>
    <w:rsid w:val="6B4C44A1"/>
    <w:rsid w:val="6B4F37E4"/>
    <w:rsid w:val="6B505736"/>
    <w:rsid w:val="6B513865"/>
    <w:rsid w:val="6B563571"/>
    <w:rsid w:val="6B58732F"/>
    <w:rsid w:val="6B6317EA"/>
    <w:rsid w:val="6B7632CC"/>
    <w:rsid w:val="6B7D0AFE"/>
    <w:rsid w:val="6B9D4209"/>
    <w:rsid w:val="6B9E5223"/>
    <w:rsid w:val="6BA75B7B"/>
    <w:rsid w:val="6BC009EB"/>
    <w:rsid w:val="6BC62B46"/>
    <w:rsid w:val="6BDA0B80"/>
    <w:rsid w:val="6BF15048"/>
    <w:rsid w:val="6BF6440D"/>
    <w:rsid w:val="6C00528B"/>
    <w:rsid w:val="6C060AF4"/>
    <w:rsid w:val="6C0C62B9"/>
    <w:rsid w:val="6C0E79A8"/>
    <w:rsid w:val="6C0F0D93"/>
    <w:rsid w:val="6C1256EA"/>
    <w:rsid w:val="6C136D6D"/>
    <w:rsid w:val="6C16685D"/>
    <w:rsid w:val="6C5C0714"/>
    <w:rsid w:val="6C5F1FB2"/>
    <w:rsid w:val="6C6C1DA1"/>
    <w:rsid w:val="6C71135B"/>
    <w:rsid w:val="6C852CE3"/>
    <w:rsid w:val="6C8C5F63"/>
    <w:rsid w:val="6C983716"/>
    <w:rsid w:val="6CA468E0"/>
    <w:rsid w:val="6CC4275D"/>
    <w:rsid w:val="6CED5810"/>
    <w:rsid w:val="6CF43D37"/>
    <w:rsid w:val="6CF57814"/>
    <w:rsid w:val="6CFA6474"/>
    <w:rsid w:val="6D0136E1"/>
    <w:rsid w:val="6D033285"/>
    <w:rsid w:val="6D1A412B"/>
    <w:rsid w:val="6D1C60F5"/>
    <w:rsid w:val="6D25144D"/>
    <w:rsid w:val="6D2E0F86"/>
    <w:rsid w:val="6D422099"/>
    <w:rsid w:val="6D433682"/>
    <w:rsid w:val="6D437B25"/>
    <w:rsid w:val="6D463172"/>
    <w:rsid w:val="6D6B0750"/>
    <w:rsid w:val="6D6F50FF"/>
    <w:rsid w:val="6D8C09C0"/>
    <w:rsid w:val="6D8F4B19"/>
    <w:rsid w:val="6D902C9D"/>
    <w:rsid w:val="6D9F63CD"/>
    <w:rsid w:val="6DA135D7"/>
    <w:rsid w:val="6DAD31F1"/>
    <w:rsid w:val="6DB91B96"/>
    <w:rsid w:val="6DB93944"/>
    <w:rsid w:val="6DCA5B51"/>
    <w:rsid w:val="6DCD73EF"/>
    <w:rsid w:val="6DCF13B9"/>
    <w:rsid w:val="6DD135E5"/>
    <w:rsid w:val="6DE210EC"/>
    <w:rsid w:val="6DE36C13"/>
    <w:rsid w:val="6DE6443E"/>
    <w:rsid w:val="6E072901"/>
    <w:rsid w:val="6E1868BC"/>
    <w:rsid w:val="6E202809"/>
    <w:rsid w:val="6E276AFF"/>
    <w:rsid w:val="6E2A4841"/>
    <w:rsid w:val="6E2C680B"/>
    <w:rsid w:val="6E375EBF"/>
    <w:rsid w:val="6E3878FF"/>
    <w:rsid w:val="6E3E31C1"/>
    <w:rsid w:val="6E4678CD"/>
    <w:rsid w:val="6E49116B"/>
    <w:rsid w:val="6E5F44EB"/>
    <w:rsid w:val="6E641B01"/>
    <w:rsid w:val="6E6727C1"/>
    <w:rsid w:val="6E777A87"/>
    <w:rsid w:val="6E851257"/>
    <w:rsid w:val="6E9758D2"/>
    <w:rsid w:val="6E9C4B53"/>
    <w:rsid w:val="6E9E7CCC"/>
    <w:rsid w:val="6EA31572"/>
    <w:rsid w:val="6EA77C40"/>
    <w:rsid w:val="6EBB7166"/>
    <w:rsid w:val="6EBF142E"/>
    <w:rsid w:val="6EC82EAB"/>
    <w:rsid w:val="6EC90F69"/>
    <w:rsid w:val="6ED854FF"/>
    <w:rsid w:val="6EF56BFD"/>
    <w:rsid w:val="6EF94940"/>
    <w:rsid w:val="6F000857"/>
    <w:rsid w:val="6F031494"/>
    <w:rsid w:val="6F052E4D"/>
    <w:rsid w:val="6F06705D"/>
    <w:rsid w:val="6F0D2199"/>
    <w:rsid w:val="6F1A7DC5"/>
    <w:rsid w:val="6F35349E"/>
    <w:rsid w:val="6F3911E0"/>
    <w:rsid w:val="6F416BF8"/>
    <w:rsid w:val="6F4230D3"/>
    <w:rsid w:val="6F4F27B2"/>
    <w:rsid w:val="6F5169BA"/>
    <w:rsid w:val="6F656188"/>
    <w:rsid w:val="6F77220A"/>
    <w:rsid w:val="6F794D3F"/>
    <w:rsid w:val="6F8166E3"/>
    <w:rsid w:val="6F8A6141"/>
    <w:rsid w:val="6F8E0E96"/>
    <w:rsid w:val="6F986024"/>
    <w:rsid w:val="6F9B1553"/>
    <w:rsid w:val="6FAD1EDF"/>
    <w:rsid w:val="6FB6638D"/>
    <w:rsid w:val="6FBF2A78"/>
    <w:rsid w:val="6FCA0035"/>
    <w:rsid w:val="6FD9207B"/>
    <w:rsid w:val="6FE95BE1"/>
    <w:rsid w:val="6FF46EB5"/>
    <w:rsid w:val="6FF93409"/>
    <w:rsid w:val="7005270A"/>
    <w:rsid w:val="70111815"/>
    <w:rsid w:val="70367FE4"/>
    <w:rsid w:val="70422316"/>
    <w:rsid w:val="70455963"/>
    <w:rsid w:val="704E09C0"/>
    <w:rsid w:val="70624A53"/>
    <w:rsid w:val="706972C8"/>
    <w:rsid w:val="707A1599"/>
    <w:rsid w:val="70A73F27"/>
    <w:rsid w:val="70B32945"/>
    <w:rsid w:val="70C26565"/>
    <w:rsid w:val="70CE2A56"/>
    <w:rsid w:val="70DC0075"/>
    <w:rsid w:val="70DF36C1"/>
    <w:rsid w:val="70E1569E"/>
    <w:rsid w:val="70F57389"/>
    <w:rsid w:val="70FE448F"/>
    <w:rsid w:val="7104581E"/>
    <w:rsid w:val="710F044A"/>
    <w:rsid w:val="71155335"/>
    <w:rsid w:val="712F289B"/>
    <w:rsid w:val="71362903"/>
    <w:rsid w:val="71566D04"/>
    <w:rsid w:val="715E0A8A"/>
    <w:rsid w:val="71627B0C"/>
    <w:rsid w:val="716B13F9"/>
    <w:rsid w:val="717515F1"/>
    <w:rsid w:val="718010C3"/>
    <w:rsid w:val="71893DC4"/>
    <w:rsid w:val="718F6E95"/>
    <w:rsid w:val="71A323FC"/>
    <w:rsid w:val="71A4098E"/>
    <w:rsid w:val="71B608C6"/>
    <w:rsid w:val="71BB2380"/>
    <w:rsid w:val="71BC1C54"/>
    <w:rsid w:val="71C07997"/>
    <w:rsid w:val="71CC67E1"/>
    <w:rsid w:val="71E4311C"/>
    <w:rsid w:val="71E573FD"/>
    <w:rsid w:val="71E847F7"/>
    <w:rsid w:val="71EC253A"/>
    <w:rsid w:val="71F47640"/>
    <w:rsid w:val="71F72C8D"/>
    <w:rsid w:val="72026054"/>
    <w:rsid w:val="720930EC"/>
    <w:rsid w:val="721675B7"/>
    <w:rsid w:val="722241AD"/>
    <w:rsid w:val="7222765D"/>
    <w:rsid w:val="723162B7"/>
    <w:rsid w:val="723932A5"/>
    <w:rsid w:val="723F6439"/>
    <w:rsid w:val="72473C14"/>
    <w:rsid w:val="7258197D"/>
    <w:rsid w:val="725F0F5E"/>
    <w:rsid w:val="72624021"/>
    <w:rsid w:val="726F64A9"/>
    <w:rsid w:val="72712A3F"/>
    <w:rsid w:val="727D3192"/>
    <w:rsid w:val="72867401"/>
    <w:rsid w:val="72A851C7"/>
    <w:rsid w:val="72CC4119"/>
    <w:rsid w:val="72ED12FA"/>
    <w:rsid w:val="72F53670"/>
    <w:rsid w:val="72F84F0E"/>
    <w:rsid w:val="7306762B"/>
    <w:rsid w:val="730D6C22"/>
    <w:rsid w:val="730E1CC8"/>
    <w:rsid w:val="73117D7E"/>
    <w:rsid w:val="73131D48"/>
    <w:rsid w:val="731B027F"/>
    <w:rsid w:val="732D2E0A"/>
    <w:rsid w:val="73441F01"/>
    <w:rsid w:val="73487C44"/>
    <w:rsid w:val="73685BF0"/>
    <w:rsid w:val="7372081D"/>
    <w:rsid w:val="73850C4E"/>
    <w:rsid w:val="738D5656"/>
    <w:rsid w:val="739F35DC"/>
    <w:rsid w:val="73A155A6"/>
    <w:rsid w:val="73AA0F95"/>
    <w:rsid w:val="73B61051"/>
    <w:rsid w:val="73BA21C4"/>
    <w:rsid w:val="73C53042"/>
    <w:rsid w:val="73E57C39"/>
    <w:rsid w:val="73EF00BF"/>
    <w:rsid w:val="73F43927"/>
    <w:rsid w:val="740578E3"/>
    <w:rsid w:val="74181387"/>
    <w:rsid w:val="741B604C"/>
    <w:rsid w:val="741F3BA9"/>
    <w:rsid w:val="74237D69"/>
    <w:rsid w:val="7428537F"/>
    <w:rsid w:val="7443665D"/>
    <w:rsid w:val="74455F31"/>
    <w:rsid w:val="74555AF1"/>
    <w:rsid w:val="74582108"/>
    <w:rsid w:val="745B5755"/>
    <w:rsid w:val="746D75B0"/>
    <w:rsid w:val="74747308"/>
    <w:rsid w:val="7476258E"/>
    <w:rsid w:val="749018A2"/>
    <w:rsid w:val="74911176"/>
    <w:rsid w:val="74980757"/>
    <w:rsid w:val="749F7D37"/>
    <w:rsid w:val="74A87A52"/>
    <w:rsid w:val="74AE3AD6"/>
    <w:rsid w:val="74AF784E"/>
    <w:rsid w:val="74C432FA"/>
    <w:rsid w:val="74C859A1"/>
    <w:rsid w:val="74DF0134"/>
    <w:rsid w:val="74E14737"/>
    <w:rsid w:val="74E21BA3"/>
    <w:rsid w:val="74E54917"/>
    <w:rsid w:val="74E90FB2"/>
    <w:rsid w:val="74F54E09"/>
    <w:rsid w:val="75134054"/>
    <w:rsid w:val="75265D63"/>
    <w:rsid w:val="754D7793"/>
    <w:rsid w:val="754E7E22"/>
    <w:rsid w:val="75614247"/>
    <w:rsid w:val="756E14B8"/>
    <w:rsid w:val="756E3266"/>
    <w:rsid w:val="75722D56"/>
    <w:rsid w:val="757F5473"/>
    <w:rsid w:val="75894543"/>
    <w:rsid w:val="75970A0E"/>
    <w:rsid w:val="75B25848"/>
    <w:rsid w:val="75B4336E"/>
    <w:rsid w:val="75B50E95"/>
    <w:rsid w:val="75BE5F9B"/>
    <w:rsid w:val="75D25EEA"/>
    <w:rsid w:val="75D73501"/>
    <w:rsid w:val="75E32129"/>
    <w:rsid w:val="75EB2B08"/>
    <w:rsid w:val="75F0011F"/>
    <w:rsid w:val="760616F0"/>
    <w:rsid w:val="761958C7"/>
    <w:rsid w:val="762304F4"/>
    <w:rsid w:val="762C66AF"/>
    <w:rsid w:val="76391AC6"/>
    <w:rsid w:val="763B76C4"/>
    <w:rsid w:val="763E70DC"/>
    <w:rsid w:val="76487F5B"/>
    <w:rsid w:val="765718D4"/>
    <w:rsid w:val="765A132B"/>
    <w:rsid w:val="766D51EC"/>
    <w:rsid w:val="766F54E7"/>
    <w:rsid w:val="768076F4"/>
    <w:rsid w:val="768A2321"/>
    <w:rsid w:val="76937428"/>
    <w:rsid w:val="769F7746"/>
    <w:rsid w:val="76A333E3"/>
    <w:rsid w:val="76A96C4B"/>
    <w:rsid w:val="76B33626"/>
    <w:rsid w:val="76C03F95"/>
    <w:rsid w:val="76D35780"/>
    <w:rsid w:val="76EF6628"/>
    <w:rsid w:val="76F53C3E"/>
    <w:rsid w:val="76F87D58"/>
    <w:rsid w:val="77185B7F"/>
    <w:rsid w:val="771A5453"/>
    <w:rsid w:val="771F2095"/>
    <w:rsid w:val="7725027B"/>
    <w:rsid w:val="77277F01"/>
    <w:rsid w:val="773014CC"/>
    <w:rsid w:val="773C78AE"/>
    <w:rsid w:val="774626EC"/>
    <w:rsid w:val="77585F7B"/>
    <w:rsid w:val="77640DC4"/>
    <w:rsid w:val="776B538C"/>
    <w:rsid w:val="776C7C79"/>
    <w:rsid w:val="777A2396"/>
    <w:rsid w:val="777C7EBC"/>
    <w:rsid w:val="777E65A3"/>
    <w:rsid w:val="777F5BFE"/>
    <w:rsid w:val="778E5E41"/>
    <w:rsid w:val="779B456E"/>
    <w:rsid w:val="779C230C"/>
    <w:rsid w:val="779C67B0"/>
    <w:rsid w:val="77A063C5"/>
    <w:rsid w:val="77E048EF"/>
    <w:rsid w:val="77E12415"/>
    <w:rsid w:val="77E141C3"/>
    <w:rsid w:val="77E42AB3"/>
    <w:rsid w:val="77FA73A4"/>
    <w:rsid w:val="77FE6B23"/>
    <w:rsid w:val="78186DD1"/>
    <w:rsid w:val="781C50D1"/>
    <w:rsid w:val="781D074E"/>
    <w:rsid w:val="7860158C"/>
    <w:rsid w:val="7860333A"/>
    <w:rsid w:val="78746DE5"/>
    <w:rsid w:val="78874D6A"/>
    <w:rsid w:val="788D60F9"/>
    <w:rsid w:val="78986F77"/>
    <w:rsid w:val="789B0816"/>
    <w:rsid w:val="78A504F3"/>
    <w:rsid w:val="78AA0A59"/>
    <w:rsid w:val="78AA221D"/>
    <w:rsid w:val="78BD0A5A"/>
    <w:rsid w:val="78BE4504"/>
    <w:rsid w:val="78C733B9"/>
    <w:rsid w:val="78D67AA0"/>
    <w:rsid w:val="78E26830"/>
    <w:rsid w:val="78E554C6"/>
    <w:rsid w:val="78EF0B61"/>
    <w:rsid w:val="78EF290F"/>
    <w:rsid w:val="78F85C68"/>
    <w:rsid w:val="79071F6A"/>
    <w:rsid w:val="79352A18"/>
    <w:rsid w:val="794C38BE"/>
    <w:rsid w:val="79555AEE"/>
    <w:rsid w:val="795F7A95"/>
    <w:rsid w:val="79690914"/>
    <w:rsid w:val="79694470"/>
    <w:rsid w:val="79751067"/>
    <w:rsid w:val="7987153D"/>
    <w:rsid w:val="79907C4E"/>
    <w:rsid w:val="79984D55"/>
    <w:rsid w:val="79A74F98"/>
    <w:rsid w:val="79B679D3"/>
    <w:rsid w:val="79CA28B5"/>
    <w:rsid w:val="79E32474"/>
    <w:rsid w:val="79E85CDC"/>
    <w:rsid w:val="79F2754D"/>
    <w:rsid w:val="79F530BD"/>
    <w:rsid w:val="79F97E97"/>
    <w:rsid w:val="79FA77BE"/>
    <w:rsid w:val="79FF3026"/>
    <w:rsid w:val="7A0A6548"/>
    <w:rsid w:val="7A0F749C"/>
    <w:rsid w:val="7A2D36EF"/>
    <w:rsid w:val="7A434029"/>
    <w:rsid w:val="7A592736"/>
    <w:rsid w:val="7A61783D"/>
    <w:rsid w:val="7A637111"/>
    <w:rsid w:val="7A643E8C"/>
    <w:rsid w:val="7A6F5AB6"/>
    <w:rsid w:val="7A770E0E"/>
    <w:rsid w:val="7A7757EF"/>
    <w:rsid w:val="7A807CC3"/>
    <w:rsid w:val="7A8D0632"/>
    <w:rsid w:val="7A8D3EAA"/>
    <w:rsid w:val="7AD1051F"/>
    <w:rsid w:val="7ADB314B"/>
    <w:rsid w:val="7AEE7323"/>
    <w:rsid w:val="7AFD6CDB"/>
    <w:rsid w:val="7AFE508C"/>
    <w:rsid w:val="7B046AB1"/>
    <w:rsid w:val="7B08484F"/>
    <w:rsid w:val="7B332F87"/>
    <w:rsid w:val="7B3559DB"/>
    <w:rsid w:val="7B3B008E"/>
    <w:rsid w:val="7B537186"/>
    <w:rsid w:val="7B570447"/>
    <w:rsid w:val="7B5B420D"/>
    <w:rsid w:val="7B6018A2"/>
    <w:rsid w:val="7B622D1B"/>
    <w:rsid w:val="7B6A44CF"/>
    <w:rsid w:val="7B75534E"/>
    <w:rsid w:val="7B8A3C04"/>
    <w:rsid w:val="7B9A1258"/>
    <w:rsid w:val="7B9A4DB4"/>
    <w:rsid w:val="7B9F686F"/>
    <w:rsid w:val="7BB3231A"/>
    <w:rsid w:val="7BB67AD7"/>
    <w:rsid w:val="7BC2255D"/>
    <w:rsid w:val="7BC83240"/>
    <w:rsid w:val="7BC9569A"/>
    <w:rsid w:val="7BD1454E"/>
    <w:rsid w:val="7BFE17E7"/>
    <w:rsid w:val="7C02545D"/>
    <w:rsid w:val="7C1C3A1B"/>
    <w:rsid w:val="7C1E59E5"/>
    <w:rsid w:val="7C376AA7"/>
    <w:rsid w:val="7C466CEA"/>
    <w:rsid w:val="7C5036C5"/>
    <w:rsid w:val="7C542B7E"/>
    <w:rsid w:val="7C63164A"/>
    <w:rsid w:val="7C6333F8"/>
    <w:rsid w:val="7C75312C"/>
    <w:rsid w:val="7C7C6F68"/>
    <w:rsid w:val="7C8E441D"/>
    <w:rsid w:val="7C9948E3"/>
    <w:rsid w:val="7CB400F8"/>
    <w:rsid w:val="7CB43C54"/>
    <w:rsid w:val="7CB9686F"/>
    <w:rsid w:val="7CBA4FE2"/>
    <w:rsid w:val="7CBB76D8"/>
    <w:rsid w:val="7CC0084B"/>
    <w:rsid w:val="7CDA44AF"/>
    <w:rsid w:val="7CFB1883"/>
    <w:rsid w:val="7D035D55"/>
    <w:rsid w:val="7D083FA0"/>
    <w:rsid w:val="7D114E61"/>
    <w:rsid w:val="7D1868D9"/>
    <w:rsid w:val="7D2232B3"/>
    <w:rsid w:val="7D225061"/>
    <w:rsid w:val="7D250FF6"/>
    <w:rsid w:val="7D275C92"/>
    <w:rsid w:val="7D2A660C"/>
    <w:rsid w:val="7D3134F6"/>
    <w:rsid w:val="7D344D95"/>
    <w:rsid w:val="7D377BC1"/>
    <w:rsid w:val="7D3B25C7"/>
    <w:rsid w:val="7D3E099A"/>
    <w:rsid w:val="7D4551F4"/>
    <w:rsid w:val="7D4A45B8"/>
    <w:rsid w:val="7D4B202A"/>
    <w:rsid w:val="7D513339"/>
    <w:rsid w:val="7D5D44AD"/>
    <w:rsid w:val="7D733B0F"/>
    <w:rsid w:val="7D845D1C"/>
    <w:rsid w:val="7D847ACA"/>
    <w:rsid w:val="7D9F66B2"/>
    <w:rsid w:val="7DA500D2"/>
    <w:rsid w:val="7DA912DF"/>
    <w:rsid w:val="7DAC501E"/>
    <w:rsid w:val="7DC62DEE"/>
    <w:rsid w:val="7DDE77F5"/>
    <w:rsid w:val="7E1110D6"/>
    <w:rsid w:val="7E1370A0"/>
    <w:rsid w:val="7E1A042F"/>
    <w:rsid w:val="7E1C7D03"/>
    <w:rsid w:val="7E1F77F3"/>
    <w:rsid w:val="7E347103"/>
    <w:rsid w:val="7E3D5ECB"/>
    <w:rsid w:val="7E482B97"/>
    <w:rsid w:val="7E527BC8"/>
    <w:rsid w:val="7E5A0B3A"/>
    <w:rsid w:val="7E6B6157"/>
    <w:rsid w:val="7E6C3ECF"/>
    <w:rsid w:val="7E742A76"/>
    <w:rsid w:val="7E763C57"/>
    <w:rsid w:val="7E7C2E97"/>
    <w:rsid w:val="7E8B7043"/>
    <w:rsid w:val="7E924469"/>
    <w:rsid w:val="7E93497E"/>
    <w:rsid w:val="7E9B156F"/>
    <w:rsid w:val="7E9E696A"/>
    <w:rsid w:val="7EAA39ED"/>
    <w:rsid w:val="7EB937A4"/>
    <w:rsid w:val="7EBF77E1"/>
    <w:rsid w:val="7EC107E4"/>
    <w:rsid w:val="7EC84539"/>
    <w:rsid w:val="7ECE2DE8"/>
    <w:rsid w:val="7EE1668D"/>
    <w:rsid w:val="7EF667A6"/>
    <w:rsid w:val="7EF90044"/>
    <w:rsid w:val="7EFA2FCA"/>
    <w:rsid w:val="7EFB719C"/>
    <w:rsid w:val="7F0A3FFF"/>
    <w:rsid w:val="7F0D1C9A"/>
    <w:rsid w:val="7F10538E"/>
    <w:rsid w:val="7F144E7E"/>
    <w:rsid w:val="7F1B620C"/>
    <w:rsid w:val="7F205261"/>
    <w:rsid w:val="7F315A30"/>
    <w:rsid w:val="7F3948E4"/>
    <w:rsid w:val="7F3B065C"/>
    <w:rsid w:val="7F5E434B"/>
    <w:rsid w:val="7F65392B"/>
    <w:rsid w:val="7F7141D8"/>
    <w:rsid w:val="7F741DC0"/>
    <w:rsid w:val="7F76029A"/>
    <w:rsid w:val="7F771C7A"/>
    <w:rsid w:val="7F7F2C3F"/>
    <w:rsid w:val="7F8D69DE"/>
    <w:rsid w:val="7F927DE0"/>
    <w:rsid w:val="7F9D2EA8"/>
    <w:rsid w:val="7FAB51EF"/>
    <w:rsid w:val="7FAD10DA"/>
    <w:rsid w:val="7FB87EFF"/>
    <w:rsid w:val="7FBD3767"/>
    <w:rsid w:val="7FCE327F"/>
    <w:rsid w:val="7FD4460D"/>
    <w:rsid w:val="7FE779F8"/>
    <w:rsid w:val="7FEA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annotation text"/>
    <w:basedOn w:val="1"/>
    <w:unhideWhenUsed/>
    <w:qFormat/>
    <w:uiPriority w:val="99"/>
    <w:pPr>
      <w:jc w:val="left"/>
    </w:pPr>
  </w:style>
  <w:style w:type="paragraph" w:styleId="7">
    <w:name w:val="Body Text"/>
    <w:basedOn w:val="1"/>
    <w:next w:val="1"/>
    <w:qFormat/>
    <w:uiPriority w:val="0"/>
    <w:rPr>
      <w:szCs w:val="21"/>
    </w:rPr>
  </w:style>
  <w:style w:type="paragraph" w:styleId="8">
    <w:name w:val="Body Text Indent"/>
    <w:basedOn w:val="1"/>
    <w:next w:val="9"/>
    <w:qFormat/>
    <w:uiPriority w:val="0"/>
    <w:pPr>
      <w:spacing w:line="380" w:lineRule="exact"/>
      <w:ind w:firstLine="480"/>
    </w:pPr>
    <w:rPr>
      <w:rFonts w:eastAsia="方正书宋简体"/>
      <w:szCs w:val="20"/>
    </w:rPr>
  </w:style>
  <w:style w:type="paragraph" w:styleId="9">
    <w:name w:val="envelope return"/>
    <w:basedOn w:val="1"/>
    <w:qFormat/>
    <w:uiPriority w:val="0"/>
    <w:pPr>
      <w:snapToGrid w:val="0"/>
    </w:pPr>
    <w:rPr>
      <w:rFonts w:ascii="Arial" w:hAnsi="Arial"/>
    </w:rPr>
  </w:style>
  <w:style w:type="paragraph" w:styleId="10">
    <w:name w:val="Plain Text"/>
    <w:basedOn w:val="1"/>
    <w:qFormat/>
    <w:uiPriority w:val="99"/>
    <w:rPr>
      <w:rFonts w:ascii="宋体" w:hAnsi="Courier New" w:cs="Courier New"/>
      <w:szCs w:val="21"/>
    </w:rPr>
  </w:style>
  <w:style w:type="paragraph" w:styleId="11">
    <w:name w:val="Balloon Text"/>
    <w:basedOn w:val="1"/>
    <w:link w:val="36"/>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4">
    <w:name w:val="toc 1"/>
    <w:basedOn w:val="1"/>
    <w:next w:val="1"/>
    <w:qFormat/>
    <w:uiPriority w:val="0"/>
  </w:style>
  <w:style w:type="paragraph" w:styleId="15">
    <w:name w:val="footnote text"/>
    <w:basedOn w:val="1"/>
    <w:qFormat/>
    <w:uiPriority w:val="0"/>
    <w:pPr>
      <w:snapToGrid w:val="0"/>
      <w:jc w:val="left"/>
    </w:pPr>
    <w:rPr>
      <w:sz w:val="18"/>
    </w:rPr>
  </w:style>
  <w:style w:type="paragraph" w:styleId="1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7">
    <w:name w:val="Body Text First Indent"/>
    <w:basedOn w:val="7"/>
    <w:next w:val="1"/>
    <w:qFormat/>
    <w:uiPriority w:val="0"/>
    <w:pPr>
      <w:ind w:firstLine="420"/>
    </w:pPr>
  </w:style>
  <w:style w:type="paragraph" w:styleId="18">
    <w:name w:val="Body Text First Indent 2"/>
    <w:basedOn w:val="8"/>
    <w:next w:val="1"/>
    <w:qFormat/>
    <w:uiPriority w:val="0"/>
    <w:pPr>
      <w:ind w:firstLine="42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annotation reference"/>
    <w:basedOn w:val="21"/>
    <w:qFormat/>
    <w:uiPriority w:val="0"/>
    <w:rPr>
      <w:sz w:val="21"/>
      <w:szCs w:val="21"/>
    </w:rPr>
  </w:style>
  <w:style w:type="character" w:styleId="23">
    <w:name w:val="footnote reference"/>
    <w:basedOn w:val="21"/>
    <w:qFormat/>
    <w:uiPriority w:val="0"/>
    <w:rPr>
      <w:vertAlign w:val="superscript"/>
    </w:rPr>
  </w:style>
  <w:style w:type="paragraph" w:customStyle="1" w:styleId="24">
    <w:name w:val="列出段落1"/>
    <w:basedOn w:val="1"/>
    <w:next w:val="25"/>
    <w:qFormat/>
    <w:uiPriority w:val="0"/>
    <w:pPr>
      <w:autoSpaceDE w:val="0"/>
      <w:autoSpaceDN w:val="0"/>
      <w:adjustRightInd w:val="0"/>
      <w:snapToGrid w:val="0"/>
      <w:spacing w:line="360" w:lineRule="auto"/>
      <w:ind w:firstLine="420"/>
    </w:pPr>
    <w:rPr>
      <w:spacing w:val="10"/>
      <w:kern w:val="0"/>
      <w:sz w:val="24"/>
    </w:rPr>
  </w:style>
  <w:style w:type="paragraph" w:styleId="25">
    <w:name w:val="List Paragraph"/>
    <w:basedOn w:val="1"/>
    <w:qFormat/>
    <w:uiPriority w:val="0"/>
    <w:pPr>
      <w:ind w:firstLine="420" w:firstLineChars="200"/>
    </w:pPr>
  </w:style>
  <w:style w:type="paragraph" w:customStyle="1" w:styleId="26">
    <w:name w:val="样式 宋体 行距: 1.5 倍行距"/>
    <w:basedOn w:val="1"/>
    <w:qFormat/>
    <w:uiPriority w:val="0"/>
    <w:pPr>
      <w:jc w:val="center"/>
    </w:pPr>
    <w:rPr>
      <w:b/>
      <w:szCs w:val="22"/>
    </w:rPr>
  </w:style>
  <w:style w:type="paragraph" w:customStyle="1" w:styleId="27">
    <w:name w:val="_Style 2"/>
    <w:basedOn w:val="2"/>
    <w:next w:val="1"/>
    <w:qFormat/>
    <w:uiPriority w:val="39"/>
    <w:pPr>
      <w:widowControl/>
      <w:spacing w:before="480" w:after="0" w:line="276" w:lineRule="auto"/>
      <w:jc w:val="left"/>
      <w:outlineLvl w:val="9"/>
    </w:pPr>
    <w:rPr>
      <w:rFonts w:ascii="Calibri Light" w:hAnsi="Calibri Light"/>
      <w:bCs/>
      <w:color w:val="2E74B5"/>
      <w:kern w:val="0"/>
      <w:sz w:val="28"/>
      <w:szCs w:val="28"/>
    </w:rPr>
  </w:style>
  <w:style w:type="paragraph" w:customStyle="1" w:styleId="28">
    <w:name w:val="列出段落11"/>
    <w:basedOn w:val="1"/>
    <w:qFormat/>
    <w:uiPriority w:val="34"/>
    <w:pPr>
      <w:ind w:firstLine="420" w:firstLineChars="200"/>
    </w:pPr>
    <w:rPr>
      <w:szCs w:val="22"/>
      <w:lang w:val="zh-CN"/>
    </w:rPr>
  </w:style>
  <w:style w:type="character" w:customStyle="1" w:styleId="29">
    <w:name w:val="正文文本 (2) + 10 pt37"/>
    <w:qFormat/>
    <w:uiPriority w:val="99"/>
    <w:rPr>
      <w:rFonts w:ascii="MingLiU" w:eastAsia="MingLiU" w:cs="MingLiU"/>
      <w:spacing w:val="0"/>
      <w:sz w:val="20"/>
      <w:szCs w:val="20"/>
      <w:u w:val="none"/>
    </w:rPr>
  </w:style>
  <w:style w:type="paragraph" w:customStyle="1" w:styleId="30">
    <w:name w:val="宋体加粗内文"/>
    <w:basedOn w:val="1"/>
    <w:qFormat/>
    <w:uiPriority w:val="0"/>
    <w:pPr>
      <w:spacing w:line="404" w:lineRule="exact"/>
    </w:pPr>
    <w:rPr>
      <w:rFonts w:ascii="方正书宋简体" w:hAnsi="宋体" w:eastAsia="方正书宋简体" w:cs="宋体"/>
      <w:b/>
      <w:kern w:val="0"/>
    </w:rPr>
  </w:style>
  <w:style w:type="paragraph" w:customStyle="1" w:styleId="31">
    <w:name w:val="样式 标题 2 + Times New Roman 四号 非加粗 段前: 5 磅 段后: 0 磅 行距: 固定值 20..."/>
    <w:basedOn w:val="3"/>
    <w:qFormat/>
    <w:uiPriority w:val="0"/>
    <w:pPr>
      <w:spacing w:before="100" w:after="0" w:line="400" w:lineRule="exact"/>
    </w:pPr>
    <w:rPr>
      <w:rFonts w:ascii="Times New Roman" w:hAnsi="Times New Roman" w:cs="宋体"/>
      <w:sz w:val="28"/>
    </w:rPr>
  </w:style>
  <w:style w:type="paragraph" w:customStyle="1" w:styleId="32">
    <w:name w:val="正文文本 (2)1"/>
    <w:basedOn w:val="1"/>
    <w:qFormat/>
    <w:uiPriority w:val="99"/>
    <w:pPr>
      <w:shd w:val="clear" w:color="auto" w:fill="FFFFFF"/>
      <w:spacing w:before="300" w:line="439" w:lineRule="exact"/>
      <w:jc w:val="distribute"/>
    </w:pPr>
    <w:rPr>
      <w:rFonts w:ascii="MingLiU" w:eastAsia="MingLiU"/>
      <w:spacing w:val="20"/>
      <w:sz w:val="22"/>
      <w:szCs w:val="22"/>
    </w:rPr>
  </w:style>
  <w:style w:type="character" w:customStyle="1" w:styleId="33">
    <w:name w:val="正文文本 (2) + 间距 0 pt3"/>
    <w:qFormat/>
    <w:uiPriority w:val="99"/>
    <w:rPr>
      <w:rFonts w:ascii="MingLiU" w:eastAsia="MingLiU" w:cs="MingLiU"/>
      <w:spacing w:val="0"/>
      <w:sz w:val="22"/>
      <w:szCs w:val="22"/>
      <w:u w:val="none"/>
    </w:rPr>
  </w:style>
  <w:style w:type="character" w:customStyle="1" w:styleId="34">
    <w:name w:val="正文文本 (2) + 间距 0 pt5"/>
    <w:qFormat/>
    <w:uiPriority w:val="99"/>
    <w:rPr>
      <w:rFonts w:ascii="MingLiU" w:eastAsia="MingLiU" w:cs="MingLiU"/>
      <w:spacing w:val="0"/>
      <w:sz w:val="22"/>
      <w:szCs w:val="22"/>
      <w:u w:val="none"/>
    </w:rPr>
  </w:style>
  <w:style w:type="character" w:customStyle="1" w:styleId="35">
    <w:name w:val="正文文本 (2) + 10 pt24"/>
    <w:qFormat/>
    <w:uiPriority w:val="99"/>
    <w:rPr>
      <w:rFonts w:ascii="MingLiU" w:eastAsia="MingLiU" w:cs="MingLiU"/>
      <w:b/>
      <w:bCs/>
      <w:spacing w:val="0"/>
      <w:sz w:val="20"/>
      <w:szCs w:val="20"/>
      <w:u w:val="none"/>
    </w:rPr>
  </w:style>
  <w:style w:type="character" w:customStyle="1" w:styleId="36">
    <w:name w:val="批注框文本 字符"/>
    <w:basedOn w:val="21"/>
    <w:link w:val="11"/>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27335</Words>
  <Characters>28642</Characters>
  <Lines>239</Lines>
  <Paragraphs>67</Paragraphs>
  <TotalTime>5</TotalTime>
  <ScaleCrop>false</ScaleCrop>
  <LinksUpToDate>false</LinksUpToDate>
  <CharactersWithSpaces>31467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2022-03-25T00:45:00Z</dcterms:created>
  <dc:creator>老翟</dc:creator>
  <cp:lastModifiedBy>程方伟</cp:lastModifiedBy>
  <cp:lastPrinted>2023-06-12T08:12:00Z</cp:lastPrinted>
  <dcterms:modified xsi:type="dcterms:W3CDTF">2023-11-03T07:50:44Z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93763052F67D4BBF91461E8EC3DA367A</vt:lpwstr>
  </property>
</Properties>
</file>